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021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055"/>
        <w:gridCol w:w="1985"/>
        <w:gridCol w:w="431"/>
        <w:gridCol w:w="1052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>
            <w:pPr>
              <w:pStyle w:val="12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 информации о несовершеннолетнем, уведомление социального учреждения по месту жительства (межведомственное взаимодействие – организации здравоохранения)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утверждения: </w:t>
            </w:r>
          </w:p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С.Н.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4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в действие: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размещения документа </w:t>
            </w:r>
            <w:r>
              <w:rPr>
                <w:i/>
                <w:sz w:val="28"/>
                <w:szCs w:val="28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Екатеринбург, 2023 год</w:t>
      </w:r>
    </w:p>
    <w:p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Стандартная операционная процедура</w:t>
      </w:r>
    </w:p>
    <w:p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Название процедуры: </w:t>
      </w:r>
      <w:r>
        <w:rPr>
          <w:sz w:val="28"/>
          <w:szCs w:val="28"/>
        </w:rPr>
        <w:t>Поступление информации о несовершеннолетнем, уведомление социального учреждения по месту жительства (межведомственное взаимодействие – организации здравоохранения)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Получение информации о детях с паллиативным статусом, которым установлена инвалидность 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Ответственность: </w:t>
      </w:r>
      <w:r>
        <w:rPr>
          <w:sz w:val="28"/>
          <w:szCs w:val="28"/>
        </w:rPr>
        <w:t>специалист по социальной работе</w:t>
      </w:r>
      <w:r>
        <w:rPr>
          <w:rFonts w:hint="default"/>
          <w:sz w:val="28"/>
          <w:szCs w:val="28"/>
          <w:lang w:val="ru-RU"/>
        </w:rPr>
        <w:t>, реабилитационный менеджер</w:t>
      </w:r>
      <w:r>
        <w:rPr>
          <w:sz w:val="28"/>
          <w:szCs w:val="28"/>
        </w:rPr>
        <w:t>.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Определение/Общие сведения: </w:t>
      </w:r>
      <w:r>
        <w:rPr>
          <w:bCs/>
          <w:color w:val="000000"/>
          <w:sz w:val="28"/>
          <w:szCs w:val="28"/>
        </w:rPr>
        <w:t>получение от законного представителя информации о паллиативном статусе ребенка-инвалида</w:t>
      </w:r>
      <w:r>
        <w:rPr>
          <w:color w:val="000000"/>
          <w:sz w:val="28"/>
          <w:szCs w:val="28"/>
        </w:rPr>
        <w:t>.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>
        <w:rPr>
          <w:rFonts w:eastAsia="Times New Roman"/>
          <w:color w:val="000000"/>
          <w:sz w:val="28"/>
          <w:szCs w:val="28"/>
          <w:lang w:eastAsia="ru-RU"/>
        </w:rPr>
        <w:t>компьютер с выходом в интернет, принтер, сканер, канцелярские принадлежности</w:t>
      </w:r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hint="default" w:eastAsia="Times New Roman"/>
          <w:b/>
          <w:bCs/>
          <w:color w:val="000000"/>
          <w:sz w:val="28"/>
          <w:szCs w:val="28"/>
          <w:lang w:val="en-US" w:eastAsia="ru-RU"/>
        </w:rPr>
        <w:t xml:space="preserve">6.1.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специалист принимает копии имеющихся документов, подтверждающих паллиативный статус ребенка-инвалида, 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6.2. </w:t>
      </w:r>
      <w:r>
        <w:rPr>
          <w:rFonts w:eastAsia="Times New Roman"/>
          <w:color w:val="000000"/>
          <w:sz w:val="28"/>
          <w:szCs w:val="28"/>
          <w:lang w:eastAsia="ru-RU"/>
        </w:rPr>
        <w:t>при отсутствии документов, специалист</w:t>
      </w: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направляет законного представителя в органы и</w:t>
      </w: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 учреждения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здравоохранения, 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6.3. информирует о графике приема </w:t>
      </w:r>
      <w:r>
        <w:rPr>
          <w:rFonts w:eastAsia="Times New Roman"/>
          <w:color w:val="000000"/>
          <w:sz w:val="28"/>
          <w:szCs w:val="28"/>
          <w:lang w:eastAsia="ru-RU"/>
        </w:rPr>
        <w:t>органов и</w:t>
      </w: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 учреждений </w:t>
      </w:r>
      <w:r>
        <w:rPr>
          <w:rFonts w:eastAsia="Times New Roman"/>
          <w:color w:val="000000"/>
          <w:sz w:val="28"/>
          <w:szCs w:val="28"/>
          <w:lang w:eastAsia="ru-RU"/>
        </w:rPr>
        <w:t>здравоохранения</w:t>
      </w: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помогает осуществить запись на прием,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hint="default" w:eastAsia="Times New Roman"/>
          <w:color w:val="000000"/>
          <w:sz w:val="28"/>
          <w:szCs w:val="28"/>
          <w:lang w:val="en-US" w:eastAsia="ru-RU"/>
        </w:rPr>
      </w:pP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6.4. </w:t>
      </w:r>
      <w:r>
        <w:rPr>
          <w:rFonts w:eastAsia="Times New Roman"/>
          <w:color w:val="000000"/>
          <w:sz w:val="28"/>
          <w:szCs w:val="28"/>
          <w:lang w:eastAsia="ru-RU"/>
        </w:rPr>
        <w:t>передает информацию реабилитационному менеджеру, который в дальнейшем курирует действия законного представителя и формирует личное дело ребенка</w:t>
      </w:r>
      <w:r>
        <w:rPr>
          <w:rFonts w:hint="default" w:eastAsia="Times New Roman"/>
          <w:color w:val="000000"/>
          <w:sz w:val="28"/>
          <w:szCs w:val="28"/>
          <w:lang w:val="en-US" w:eastAsia="ru-RU"/>
        </w:rPr>
        <w:t xml:space="preserve">, 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hint="default" w:eastAsia="Times New Roman"/>
          <w:color w:val="000000"/>
          <w:sz w:val="28"/>
          <w:szCs w:val="28"/>
          <w:lang w:val="en-US" w:eastAsia="ru-RU"/>
        </w:rPr>
        <w:t>6.5. п</w:t>
      </w:r>
      <w:r>
        <w:rPr>
          <w:rFonts w:eastAsia="Times New Roman"/>
          <w:color w:val="000000"/>
          <w:sz w:val="28"/>
          <w:szCs w:val="28"/>
          <w:lang w:eastAsia="ru-RU"/>
        </w:rPr>
        <w:t>одписывает акт оказания социальных услуг.</w:t>
      </w:r>
    </w:p>
    <w:p>
      <w:pPr>
        <w:pStyle w:val="13"/>
        <w:numPr>
          <w:numId w:val="0"/>
        </w:numPr>
        <w:tabs>
          <w:tab w:val="left" w:pos="-284"/>
          <w:tab w:val="left" w:pos="709"/>
        </w:tabs>
        <w:ind w:leftChars="0"/>
        <w:jc w:val="both"/>
        <w:rPr>
          <w:rFonts w:hint="default" w:eastAsia="Times New Roman"/>
          <w:color w:val="000000"/>
          <w:sz w:val="28"/>
          <w:szCs w:val="28"/>
          <w:lang w:val="en-US" w:eastAsia="ru-RU"/>
        </w:rPr>
      </w:pPr>
      <w:r>
        <w:rPr>
          <w:rFonts w:hint="default" w:eastAsia="Times New Roman"/>
          <w:color w:val="000000"/>
          <w:sz w:val="28"/>
          <w:szCs w:val="28"/>
          <w:lang w:val="en-US" w:eastAsia="ru-RU"/>
        </w:rPr>
        <w:t>6.7. фиксирует факт оказания услуги.</w:t>
      </w:r>
      <w:bookmarkStart w:id="0" w:name="_GoBack"/>
      <w:bookmarkEnd w:id="0"/>
    </w:p>
    <w:p>
      <w:pPr>
        <w:pStyle w:val="13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eastAsia="Times New Roman"/>
          <w:color w:val="000000"/>
          <w:sz w:val="28"/>
          <w:szCs w:val="28"/>
          <w:lang w:eastAsia="ru-RU"/>
        </w:rPr>
        <w:t>Проверка СОП осуществляется руководителем структурного подразделения ежемесячно.</w:t>
      </w:r>
    </w:p>
    <w:p>
      <w:pPr>
        <w:ind w:firstLine="0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ссылки: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>
      <w:pPr>
        <w:pStyle w:val="13"/>
        <w:numPr>
          <w:ilvl w:val="0"/>
          <w:numId w:val="2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инвалидов".</w:t>
      </w: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>
      <w:pPr>
        <w:pStyle w:val="13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>
      <w:pPr>
        <w:pStyle w:val="13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9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276"/>
        <w:gridCol w:w="1043"/>
        <w:gridCol w:w="1043"/>
        <w:gridCol w:w="807"/>
        <w:gridCol w:w="1258"/>
        <w:gridCol w:w="117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993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 получателя</w:t>
            </w:r>
          </w:p>
        </w:tc>
        <w:tc>
          <w:tcPr>
            <w:tcW w:w="2114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 законного представителя\контактного лица</w:t>
            </w: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Время обращения</w:t>
            </w:r>
          </w:p>
        </w:tc>
        <w:tc>
          <w:tcPr>
            <w:tcW w:w="106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Форма (ватсап, скайп, вайбер, телефонный звонок)</w:t>
            </w:r>
          </w:p>
        </w:tc>
        <w:tc>
          <w:tcPr>
            <w:tcW w:w="11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Подпись исполнителя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93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>
            <w:pPr>
              <w:pStyle w:val="13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>
      <w:pPr>
        <w:pStyle w:val="13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>
      <w:pPr>
        <w:pStyle w:val="13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>
      <w:pPr>
        <w:pStyle w:val="13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>
      <w:pPr>
        <w:pStyle w:val="13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>
      <w:pPr>
        <w:pStyle w:val="13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4023"/>
        <w:gridCol w:w="2364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>
            <w:pPr>
              <w:pStyle w:val="13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pStyle w:val="13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>
      <w:pPr>
        <w:ind w:firstLine="0"/>
        <w:rPr>
          <w:rFonts w:eastAsia="Times New Roman"/>
          <w:sz w:val="28"/>
          <w:szCs w:val="28"/>
          <w:lang w:eastAsia="ru-RU"/>
        </w:rPr>
      </w:pPr>
    </w:p>
    <w:sectPr>
      <w:footerReference r:id="rId5" w:type="default"/>
      <w:pgSz w:w="11906" w:h="16838"/>
      <w:pgMar w:top="1138" w:right="850" w:bottom="1138" w:left="1440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lang w:val="en-US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C7967"/>
    <w:multiLevelType w:val="multilevel"/>
    <w:tmpl w:val="121C7967"/>
    <w:lvl w:ilvl="0" w:tentative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  <w:color w:val="auto"/>
      </w:rPr>
    </w:lvl>
    <w:lvl w:ilvl="1" w:tentative="0">
      <w:start w:val="0"/>
      <w:numFmt w:val="bullet"/>
      <w:lvlText w:val=""/>
      <w:lvlJc w:val="left"/>
      <w:pPr>
        <w:ind w:left="2620" w:hanging="690"/>
      </w:pPr>
      <w:rPr>
        <w:rFonts w:hint="default" w:ascii="Symbol" w:hAnsi="Symbol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3010" w:hanging="180"/>
      </w:pPr>
    </w:lvl>
    <w:lvl w:ilvl="3" w:tentative="0">
      <w:start w:val="1"/>
      <w:numFmt w:val="decimal"/>
      <w:lvlText w:val="%4."/>
      <w:lvlJc w:val="left"/>
      <w:pPr>
        <w:ind w:left="3730" w:hanging="360"/>
      </w:pPr>
    </w:lvl>
    <w:lvl w:ilvl="4" w:tentative="0">
      <w:start w:val="1"/>
      <w:numFmt w:val="lowerLetter"/>
      <w:lvlText w:val="%5."/>
      <w:lvlJc w:val="left"/>
      <w:pPr>
        <w:ind w:left="4450" w:hanging="360"/>
      </w:pPr>
    </w:lvl>
    <w:lvl w:ilvl="5" w:tentative="0">
      <w:start w:val="1"/>
      <w:numFmt w:val="lowerRoman"/>
      <w:lvlText w:val="%6."/>
      <w:lvlJc w:val="right"/>
      <w:pPr>
        <w:ind w:left="5170" w:hanging="180"/>
      </w:pPr>
    </w:lvl>
    <w:lvl w:ilvl="6" w:tentative="0">
      <w:start w:val="1"/>
      <w:numFmt w:val="decimal"/>
      <w:lvlText w:val="%7."/>
      <w:lvlJc w:val="left"/>
      <w:pPr>
        <w:ind w:left="5890" w:hanging="360"/>
      </w:pPr>
    </w:lvl>
    <w:lvl w:ilvl="7" w:tentative="0">
      <w:start w:val="1"/>
      <w:numFmt w:val="lowerLetter"/>
      <w:lvlText w:val="%8."/>
      <w:lvlJc w:val="left"/>
      <w:pPr>
        <w:ind w:left="6610" w:hanging="360"/>
      </w:pPr>
    </w:lvl>
    <w:lvl w:ilvl="8" w:tentative="0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25085911"/>
    <w:multiLevelType w:val="multilevel"/>
    <w:tmpl w:val="2508591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216E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33CF8"/>
    <w:rsid w:val="001417C4"/>
    <w:rsid w:val="00142348"/>
    <w:rsid w:val="001430C7"/>
    <w:rsid w:val="001432DA"/>
    <w:rsid w:val="0015453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33D24"/>
    <w:rsid w:val="00241495"/>
    <w:rsid w:val="002423D0"/>
    <w:rsid w:val="00282BF6"/>
    <w:rsid w:val="002C1D95"/>
    <w:rsid w:val="002D1174"/>
    <w:rsid w:val="002F6469"/>
    <w:rsid w:val="00303C77"/>
    <w:rsid w:val="003432EE"/>
    <w:rsid w:val="003A2458"/>
    <w:rsid w:val="003B1B9E"/>
    <w:rsid w:val="003C610D"/>
    <w:rsid w:val="003D25C6"/>
    <w:rsid w:val="003D41BC"/>
    <w:rsid w:val="003E21E7"/>
    <w:rsid w:val="003F0D6F"/>
    <w:rsid w:val="003F7E66"/>
    <w:rsid w:val="00445B32"/>
    <w:rsid w:val="00446312"/>
    <w:rsid w:val="00467600"/>
    <w:rsid w:val="00493111"/>
    <w:rsid w:val="004C2FCA"/>
    <w:rsid w:val="004E1C0F"/>
    <w:rsid w:val="004F1FAA"/>
    <w:rsid w:val="005235C0"/>
    <w:rsid w:val="00531381"/>
    <w:rsid w:val="00540F0A"/>
    <w:rsid w:val="00553977"/>
    <w:rsid w:val="00556B76"/>
    <w:rsid w:val="0056622B"/>
    <w:rsid w:val="005A4744"/>
    <w:rsid w:val="005E3ACF"/>
    <w:rsid w:val="005E790F"/>
    <w:rsid w:val="005F2BA6"/>
    <w:rsid w:val="00604476"/>
    <w:rsid w:val="00615B60"/>
    <w:rsid w:val="00617DD7"/>
    <w:rsid w:val="00672D81"/>
    <w:rsid w:val="006734F2"/>
    <w:rsid w:val="00677B86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3BC0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16150"/>
    <w:rsid w:val="00B2562B"/>
    <w:rsid w:val="00B42301"/>
    <w:rsid w:val="00B642B8"/>
    <w:rsid w:val="00B64EF9"/>
    <w:rsid w:val="00B71DB9"/>
    <w:rsid w:val="00B7442C"/>
    <w:rsid w:val="00B77723"/>
    <w:rsid w:val="00B9007F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C0DF1"/>
    <w:rsid w:val="00CE097B"/>
    <w:rsid w:val="00D17C78"/>
    <w:rsid w:val="00D73F1F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265CF"/>
    <w:rsid w:val="00F62DF4"/>
    <w:rsid w:val="00F76C54"/>
    <w:rsid w:val="00FB123C"/>
    <w:rsid w:val="00FD42B1"/>
    <w:rsid w:val="00FD7A36"/>
    <w:rsid w:val="00FE2311"/>
    <w:rsid w:val="384B5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  <w:ind w:firstLine="709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5">
    <w:name w:val="caption"/>
    <w:basedOn w:val="1"/>
    <w:next w:val="1"/>
    <w:qFormat/>
    <w:uiPriority w:val="0"/>
    <w:pPr>
      <w:spacing w:before="120" w:after="120" w:line="240" w:lineRule="auto"/>
      <w:ind w:firstLine="0"/>
      <w:jc w:val="center"/>
    </w:pPr>
    <w:rPr>
      <w:rFonts w:ascii="Arial" w:hAnsi="Arial" w:eastAsia="Times New Roman"/>
      <w:i/>
      <w:sz w:val="18"/>
      <w:szCs w:val="20"/>
      <w:lang w:val="en-GB" w:eastAsia="ru-RU"/>
    </w:rPr>
  </w:style>
  <w:style w:type="paragraph" w:styleId="6">
    <w:name w:val="header"/>
    <w:basedOn w:val="1"/>
    <w:link w:val="10"/>
    <w:unhideWhenUsed/>
    <w:uiPriority w:val="0"/>
    <w:pPr>
      <w:tabs>
        <w:tab w:val="center" w:pos="4677"/>
        <w:tab w:val="right" w:pos="9355"/>
      </w:tabs>
      <w:spacing w:line="240" w:lineRule="auto"/>
    </w:pPr>
  </w:style>
  <w:style w:type="paragraph" w:styleId="7">
    <w:name w:val="Body Text"/>
    <w:basedOn w:val="1"/>
    <w:link w:val="14"/>
    <w:uiPriority w:val="0"/>
    <w:pPr>
      <w:spacing w:after="120" w:line="240" w:lineRule="auto"/>
      <w:ind w:firstLine="0"/>
      <w:jc w:val="both"/>
    </w:pPr>
    <w:rPr>
      <w:rFonts w:ascii="Arial" w:hAnsi="Arial" w:eastAsia="Times New Roman"/>
      <w:sz w:val="20"/>
      <w:szCs w:val="20"/>
      <w:lang w:val="en-GB" w:eastAsia="ru-RU"/>
    </w:rPr>
  </w:style>
  <w:style w:type="paragraph" w:styleId="8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9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6"/>
    <w:uiPriority w:val="0"/>
  </w:style>
  <w:style w:type="character" w:customStyle="1" w:styleId="11">
    <w:name w:val="Нижний колонтитул Знак"/>
    <w:basedOn w:val="2"/>
    <w:link w:val="8"/>
    <w:uiPriority w:val="99"/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Основной текст Знак"/>
    <w:link w:val="7"/>
    <w:uiPriority w:val="1"/>
    <w:rPr>
      <w:rFonts w:ascii="Arial" w:hAnsi="Arial" w:eastAsia="Times New Roman" w:cs="Arial"/>
      <w:lang w:val="en-GB" w:eastAsia="ru-RU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character" w:customStyle="1" w:styleId="16">
    <w:name w:val="apple-converted-space"/>
    <w:basedOn w:val="2"/>
    <w:uiPriority w:val="0"/>
  </w:style>
  <w:style w:type="character" w:customStyle="1" w:styleId="17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Romeo1994</Company>
  <Pages>3</Pages>
  <Words>442</Words>
  <Characters>2521</Characters>
  <Lines>21</Lines>
  <Paragraphs>5</Paragraphs>
  <TotalTime>14</TotalTime>
  <ScaleCrop>false</ScaleCrop>
  <LinksUpToDate>false</LinksUpToDate>
  <CharactersWithSpaces>2958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2024-01-22T07:41:00Z</dcterms:created>
  <dc:creator>Людмила</dc:creator>
  <cp:lastModifiedBy>Наталья Агафоно�</cp:lastModifiedBy>
  <cp:lastPrinted>2022-05-25T05:26:00Z</cp:lastPrinted>
  <dcterms:modified xsi:type="dcterms:W3CDTF">2024-02-26T07:00:15Z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671AF6697F944871BEF74AB9D470393C_12</vt:lpwstr>
  </property>
</Properties>
</file>