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121BDB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2748A9" w:rsidP="00121BD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121BD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121BDB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6D1EA1" w:rsidP="00121BD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0108C3" w:rsidRPr="00121B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r w:rsidR="00D02D7B" w:rsidRPr="00121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змерение </w:t>
            </w:r>
            <w:r w:rsidR="004D410B" w:rsidRPr="00121BD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</w:t>
            </w:r>
          </w:p>
        </w:tc>
      </w:tr>
      <w:tr w:rsidR="00D5580D" w:rsidRPr="00121BD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121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21BDB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21BDB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121BD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6D1EA1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6D1EA1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21BD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121BDB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121BDB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121BD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121BDB" w:rsidRDefault="00D5580D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C3" w:rsidRPr="00121BD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121BDB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C3" w:rsidRPr="00121BDB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121BD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C3" w:rsidRPr="00121BDB" w:rsidRDefault="000108C3" w:rsidP="00121BD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121BDB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121BD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121BDB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12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12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121BDB" w:rsidRDefault="00121BDB" w:rsidP="00121BDB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121B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02D7B" w:rsidRPr="00121B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Измерение </w:t>
      </w:r>
      <w:r w:rsidR="004D410B" w:rsidRPr="00121B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роста клиента</w:t>
      </w:r>
    </w:p>
    <w:p w:rsidR="006D1EA1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D410B" w:rsidRPr="00121BDB">
        <w:rPr>
          <w:rFonts w:ascii="Times New Roman" w:hAnsi="Times New Roman"/>
          <w:sz w:val="28"/>
          <w:szCs w:val="28"/>
          <w:lang w:val="ru-RU"/>
        </w:rPr>
        <w:t>Определение численного показателя роста клиента</w:t>
      </w:r>
    </w:p>
    <w:p w:rsidR="00221B9F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121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121BDB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</w:t>
      </w:r>
      <w:r w:rsidR="005B0F27" w:rsidRPr="00121BD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72241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121B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42664" w:rsidRPr="00121BDB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121BDB" w:rsidRDefault="006D1EA1" w:rsidP="000B701D">
      <w:pPr>
        <w:pStyle w:val="aa"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121BDB">
        <w:rPr>
          <w:rFonts w:ascii="Times New Roman" w:hAnsi="Times New Roman"/>
          <w:b/>
          <w:sz w:val="28"/>
          <w:szCs w:val="28"/>
          <w:lang w:val="ru-RU"/>
        </w:rPr>
        <w:t>:</w:t>
      </w:r>
      <w:r w:rsidR="004D410B" w:rsidRPr="00121B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241" w:rsidRPr="00121BDB">
        <w:rPr>
          <w:rFonts w:ascii="Times New Roman" w:hAnsi="Times New Roman"/>
          <w:sz w:val="28"/>
          <w:szCs w:val="28"/>
          <w:lang w:val="ru-RU"/>
        </w:rPr>
        <w:t>Антропометрия требует использования тщательно отрегулированных и проверенных приборов. Измерения рекомендуется осуществлять в первой половине дня натощак или же спустя два-три часа после приема пищи. Одежда на обследуемом должна быть легкой</w:t>
      </w:r>
      <w:r w:rsidR="0072437B" w:rsidRPr="00121B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2241" w:rsidRPr="00121BDB">
        <w:rPr>
          <w:rFonts w:ascii="Times New Roman" w:hAnsi="Times New Roman"/>
          <w:sz w:val="28"/>
          <w:szCs w:val="28"/>
          <w:lang w:val="ru-RU"/>
        </w:rPr>
        <w:t>Чтобы последующая оценка была эффективна, необходимо соблюдать алгоритм измерения роста пациента. Обнаруженные отклонения могут быть признаком определенного заболевания или фактором риска.</w:t>
      </w:r>
    </w:p>
    <w:p w:rsidR="007E5E83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121BD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2437B" w:rsidRPr="00121BDB" w:rsidRDefault="0072437B" w:rsidP="000B701D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Ростомер</w:t>
      </w:r>
      <w:r w:rsidR="008E0FC6" w:rsidRPr="00121BDB">
        <w:rPr>
          <w:rFonts w:ascii="Times New Roman" w:hAnsi="Times New Roman"/>
          <w:sz w:val="28"/>
          <w:szCs w:val="28"/>
          <w:lang w:val="ru-RU"/>
        </w:rPr>
        <w:t>;</w:t>
      </w:r>
    </w:p>
    <w:p w:rsidR="00917BB8" w:rsidRPr="00121BDB" w:rsidRDefault="0072437B" w:rsidP="000B701D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Дезинфицирующее средство для обработки ростомера</w:t>
      </w:r>
      <w:r w:rsidR="008E0FC6" w:rsidRPr="00121BDB">
        <w:rPr>
          <w:rFonts w:ascii="Times New Roman" w:hAnsi="Times New Roman"/>
          <w:sz w:val="28"/>
          <w:szCs w:val="28"/>
          <w:lang w:val="ru-RU"/>
        </w:rPr>
        <w:t>;</w:t>
      </w:r>
    </w:p>
    <w:p w:rsidR="008E0FC6" w:rsidRPr="00121BDB" w:rsidRDefault="008E0FC6" w:rsidP="000B701D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Бумажные салфетки.</w:t>
      </w:r>
    </w:p>
    <w:p w:rsidR="009C2195" w:rsidRPr="00121BDB" w:rsidRDefault="006D1EA1" w:rsidP="000B701D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F778BF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Провести гигиену рук;</w:t>
      </w:r>
    </w:p>
    <w:p w:rsidR="00917BB8" w:rsidRPr="00121BDB" w:rsidRDefault="0072437B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Объяснить ребенку ход процедуры</w:t>
      </w:r>
      <w:r w:rsidR="00917BB8" w:rsidRPr="00121BDB">
        <w:rPr>
          <w:rFonts w:ascii="Times New Roman" w:hAnsi="Times New Roman"/>
          <w:sz w:val="28"/>
          <w:szCs w:val="28"/>
          <w:lang w:val="ru-RU"/>
        </w:rPr>
        <w:t>;</w:t>
      </w:r>
    </w:p>
    <w:p w:rsidR="0072437B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Проверить исправность ростомера;</w:t>
      </w:r>
    </w:p>
    <w:p w:rsidR="00F778BF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Помочь ребенку встать на середину площадки ростомера (без обуви);</w:t>
      </w:r>
    </w:p>
    <w:p w:rsidR="00F778BF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Проследить, чтобы ребенок стоял прямо (рис. 1) (помочь ребенку принять соответствующее положение);</w:t>
      </w:r>
    </w:p>
    <w:p w:rsidR="00F778BF" w:rsidRPr="00121BDB" w:rsidRDefault="00F778BF" w:rsidP="000B701D">
      <w:pPr>
        <w:pStyle w:val="aa"/>
        <w:keepNext/>
        <w:widowControl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21BD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90234" cy="1508614"/>
            <wp:effectExtent l="19050" t="0" r="5316" b="0"/>
            <wp:docPr id="1" name="Рисунок 1" descr="\\serkop_server\Data\Рабочее\Пилот бережливое производство\СОПы наши\Социально-медицинские услуги\2.6 Выполнение процедур связанных с сохранением здоровья\измерение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kop_server\Data\Рабочее\Пилот бережливое производство\СОПы наши\Социально-медицинские услуги\2.6 Выполнение процедур связанных с сохранением здоровья\измерение 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17" cy="15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BF" w:rsidRPr="00121BDB" w:rsidRDefault="00F778BF" w:rsidP="000B701D">
      <w:pPr>
        <w:pStyle w:val="ad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1BDB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BF3E6C" w:rsidRPr="00121BD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21BDB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BF3E6C" w:rsidRPr="00121BD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121BDB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BF3E6C" w:rsidRPr="00121BD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E0FC6" w:rsidRPr="00121BDB" w:rsidRDefault="008E0FC6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lastRenderedPageBreak/>
        <w:t>Опустить горизонтальную планшетку ростомера до касания ее с теменной частью ребенка;</w:t>
      </w:r>
    </w:p>
    <w:p w:rsidR="008E0FC6" w:rsidRPr="00121BDB" w:rsidRDefault="008E0FC6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По нижнему краю горизонтальной планшетки прочитать результат в см.;</w:t>
      </w:r>
    </w:p>
    <w:p w:rsidR="00F778BF" w:rsidRPr="00121BDB" w:rsidRDefault="00E04D35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Полученные цифровые данные сообщить врачу</w:t>
      </w:r>
      <w:r w:rsidR="00F778BF" w:rsidRPr="00121BD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F778BF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Помочь ребенку сойти с площадки ростомера</w:t>
      </w:r>
      <w:r w:rsidR="008E0FC6" w:rsidRPr="00121BDB">
        <w:rPr>
          <w:rFonts w:ascii="Times New Roman" w:hAnsi="Times New Roman"/>
          <w:sz w:val="28"/>
          <w:szCs w:val="28"/>
          <w:lang w:val="ru-RU"/>
        </w:rPr>
        <w:t>;</w:t>
      </w:r>
    </w:p>
    <w:p w:rsidR="00F778BF" w:rsidRPr="00121BDB" w:rsidRDefault="00F778BF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После окончания измерения роста ребенка необходимо провести гигиену рук</w:t>
      </w:r>
      <w:r w:rsidR="008E0FC6" w:rsidRPr="00121BDB">
        <w:rPr>
          <w:rFonts w:ascii="Times New Roman" w:hAnsi="Times New Roman"/>
          <w:sz w:val="28"/>
          <w:szCs w:val="28"/>
          <w:lang w:val="ru-RU"/>
        </w:rPr>
        <w:t>;</w:t>
      </w:r>
    </w:p>
    <w:p w:rsidR="008E0FC6" w:rsidRPr="00121BDB" w:rsidRDefault="008E0FC6" w:rsidP="000B701D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hAnsi="Times New Roman"/>
          <w:sz w:val="28"/>
          <w:szCs w:val="28"/>
          <w:lang w:val="ru-RU"/>
        </w:rPr>
        <w:t>Обработать ростомер с использованием дезинфицирующего средства и бумажных салфеток.</w:t>
      </w:r>
    </w:p>
    <w:p w:rsidR="00121BDB" w:rsidRPr="00121BDB" w:rsidRDefault="000108C3" w:rsidP="000B701D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1BD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121BDB" w:rsidRPr="00121BDB">
        <w:rPr>
          <w:rFonts w:ascii="Times New Roman" w:eastAsia="Times New Roman" w:hAnsi="Times New Roman"/>
          <w:sz w:val="28"/>
          <w:szCs w:val="28"/>
          <w:lang w:val="ru-RU" w:eastAsia="ru-RU"/>
        </w:rPr>
        <w:t>: п</w:t>
      </w:r>
      <w:r w:rsidR="00121BDB" w:rsidRPr="00121BDB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121BDB" w:rsidRPr="00121BDB" w:rsidRDefault="00121BDB" w:rsidP="000B70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BDB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121BDB" w:rsidRPr="00121BDB" w:rsidRDefault="00121BDB" w:rsidP="000B70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BDB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121BDB" w:rsidRPr="00121BDB" w:rsidRDefault="00121BDB" w:rsidP="000B70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BDB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0108C3" w:rsidRPr="00121BDB" w:rsidRDefault="00121BDB" w:rsidP="000B701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DB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A97C3C" w:rsidRPr="00121BDB" w:rsidRDefault="00A97C3C" w:rsidP="00121BDB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A97C3C" w:rsidRPr="00121BDB" w:rsidRDefault="00A97C3C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A97C3C" w:rsidRDefault="00A97C3C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Pr="00121BDB" w:rsidRDefault="000B701D" w:rsidP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01D" w:rsidRDefault="000B701D" w:rsidP="000B701D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121BDB" w:rsidRDefault="006D1EA1" w:rsidP="00121BDB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21BDB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121BDB" w:rsidRDefault="006D1EA1" w:rsidP="00121BDB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DB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21BDB" w:rsidRDefault="006D1EA1" w:rsidP="00121BDB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DB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  <w:r w:rsidRPr="00121BDB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121BDB" w:rsidRDefault="006D1EA1" w:rsidP="00121BDB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1BDB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121BD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D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121BDB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121BDB" w:rsidRDefault="006D1EA1" w:rsidP="00121BDB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1BDB" w:rsidRPr="00121BDB" w:rsidRDefault="00121BD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21BDB" w:rsidRPr="00121BDB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92" w:rsidRDefault="009F1292" w:rsidP="00D5580D">
      <w:pPr>
        <w:spacing w:after="0" w:line="240" w:lineRule="auto"/>
      </w:pPr>
      <w:r>
        <w:separator/>
      </w:r>
    </w:p>
  </w:endnote>
  <w:endnote w:type="continuationSeparator" w:id="0">
    <w:p w:rsidR="009F1292" w:rsidRDefault="009F1292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92" w:rsidRDefault="009F1292" w:rsidP="00D5580D">
      <w:pPr>
        <w:spacing w:after="0" w:line="240" w:lineRule="auto"/>
      </w:pPr>
      <w:r>
        <w:separator/>
      </w:r>
    </w:p>
  </w:footnote>
  <w:footnote w:type="continuationSeparator" w:id="0">
    <w:p w:rsidR="009F1292" w:rsidRDefault="009F1292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A97C3C" w:rsidRPr="00121BD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A97C3C" w:rsidRPr="00121BDB" w:rsidRDefault="00A97C3C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121BDB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7C3C" w:rsidRPr="00121BDB" w:rsidRDefault="00A97C3C" w:rsidP="000108C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21BDB">
            <w:rPr>
              <w:rFonts w:ascii="Times New Roman" w:eastAsia="Times New Roman" w:hAnsi="Times New Roman"/>
            </w:rPr>
            <w:t>С</w:t>
          </w:r>
          <w:r w:rsidR="000108C3" w:rsidRPr="00121BDB">
            <w:rPr>
              <w:rFonts w:ascii="Times New Roman" w:eastAsia="Times New Roman" w:hAnsi="Times New Roman"/>
            </w:rPr>
            <w:t>тандарт операционной процедуры</w:t>
          </w:r>
          <w:r w:rsidRPr="00121BDB">
            <w:rPr>
              <w:rFonts w:ascii="Times New Roman" w:eastAsia="Times New Roman" w:hAnsi="Times New Roman"/>
            </w:rPr>
            <w:t xml:space="preserve"> </w:t>
          </w:r>
          <w:r w:rsidR="000108C3" w:rsidRPr="00121BDB">
            <w:rPr>
              <w:rFonts w:ascii="Times New Roman" w:eastAsia="Times New Roman" w:hAnsi="Times New Roman"/>
            </w:rPr>
            <w:br/>
          </w:r>
          <w:r w:rsidRPr="00121BDB">
            <w:rPr>
              <w:rFonts w:ascii="Times New Roman" w:eastAsia="Times New Roman" w:hAnsi="Times New Roman"/>
            </w:rPr>
            <w:t>Измерение роста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97C3C" w:rsidRPr="00121BDB" w:rsidRDefault="00A97C3C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121BDB">
            <w:rPr>
              <w:rFonts w:ascii="Times New Roman" w:hAnsi="Times New Roman"/>
            </w:rPr>
            <w:t xml:space="preserve">Код: </w:t>
          </w:r>
          <w:r w:rsidR="005F428E" w:rsidRPr="00121BDB">
            <w:rPr>
              <w:rFonts w:ascii="Times New Roman" w:hAnsi="Times New Roman"/>
            </w:rPr>
            <w:t xml:space="preserve">2.06.01.2.3 </w:t>
          </w:r>
          <w:r w:rsidR="007F6E56" w:rsidRPr="00121BDB">
            <w:rPr>
              <w:rFonts w:ascii="Times New Roman" w:hAnsi="Times New Roman"/>
            </w:rPr>
            <w:t>(5)</w:t>
          </w:r>
        </w:p>
      </w:tc>
    </w:tr>
    <w:tr w:rsidR="00A97C3C" w:rsidRPr="00121BDB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7C3C" w:rsidRPr="00121BDB" w:rsidRDefault="00A97C3C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7C3C" w:rsidRPr="00121BDB" w:rsidRDefault="00A97C3C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97C3C" w:rsidRPr="00121BDB" w:rsidRDefault="000108C3" w:rsidP="00121BDB">
          <w:pPr>
            <w:pStyle w:val="a7"/>
            <w:spacing w:before="120"/>
            <w:rPr>
              <w:rFonts w:ascii="Times New Roman" w:hAnsi="Times New Roman"/>
            </w:rPr>
          </w:pPr>
          <w:r w:rsidRPr="00121BDB">
            <w:rPr>
              <w:rFonts w:ascii="Times New Roman" w:hAnsi="Times New Roman"/>
            </w:rPr>
            <w:t xml:space="preserve">Версия: </w:t>
          </w:r>
          <w:r w:rsidR="00121BDB" w:rsidRPr="00121BDB">
            <w:rPr>
              <w:rFonts w:ascii="Times New Roman" w:hAnsi="Times New Roman"/>
            </w:rPr>
            <w:t>1</w:t>
          </w:r>
          <w:r w:rsidRPr="00121BDB">
            <w:rPr>
              <w:rFonts w:ascii="Times New Roman" w:hAnsi="Times New Roman"/>
            </w:rPr>
            <w:t xml:space="preserve"> от …</w:t>
          </w:r>
          <w:r w:rsidR="00121BDB" w:rsidRPr="00121BDB">
            <w:rPr>
              <w:rFonts w:ascii="Times New Roman" w:hAnsi="Times New Roman"/>
            </w:rPr>
            <w:t xml:space="preserve"> г.</w:t>
          </w:r>
        </w:p>
      </w:tc>
    </w:tr>
    <w:tr w:rsidR="00A97C3C" w:rsidRPr="00121BD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7C3C" w:rsidRPr="00121BDB" w:rsidRDefault="00A97C3C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7C3C" w:rsidRPr="00121BDB" w:rsidRDefault="00A97C3C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97C3C" w:rsidRPr="00121BDB" w:rsidRDefault="00A97C3C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121BDB">
            <w:rPr>
              <w:rFonts w:ascii="Times New Roman" w:hAnsi="Times New Roman"/>
            </w:rPr>
            <w:t xml:space="preserve">Страница: </w:t>
          </w:r>
          <w:r w:rsidR="00BF3E6C" w:rsidRPr="00121BDB">
            <w:rPr>
              <w:rFonts w:ascii="Times New Roman" w:hAnsi="Times New Roman"/>
            </w:rPr>
            <w:fldChar w:fldCharType="begin"/>
          </w:r>
          <w:r w:rsidRPr="00121BDB">
            <w:rPr>
              <w:rFonts w:ascii="Times New Roman" w:hAnsi="Times New Roman"/>
            </w:rPr>
            <w:instrText xml:space="preserve"> PAGE </w:instrText>
          </w:r>
          <w:r w:rsidR="00BF3E6C" w:rsidRPr="00121BDB">
            <w:rPr>
              <w:rFonts w:ascii="Times New Roman" w:hAnsi="Times New Roman"/>
            </w:rPr>
            <w:fldChar w:fldCharType="separate"/>
          </w:r>
          <w:r w:rsidR="000B701D">
            <w:rPr>
              <w:rFonts w:ascii="Times New Roman" w:hAnsi="Times New Roman"/>
              <w:noProof/>
            </w:rPr>
            <w:t>1</w:t>
          </w:r>
          <w:r w:rsidR="00BF3E6C" w:rsidRPr="00121BDB">
            <w:rPr>
              <w:rFonts w:ascii="Times New Roman" w:hAnsi="Times New Roman"/>
            </w:rPr>
            <w:fldChar w:fldCharType="end"/>
          </w:r>
          <w:r w:rsidRPr="00121BDB">
            <w:rPr>
              <w:rFonts w:ascii="Times New Roman" w:hAnsi="Times New Roman"/>
            </w:rPr>
            <w:t xml:space="preserve"> из </w:t>
          </w:r>
          <w:r w:rsidR="00BF3E6C" w:rsidRPr="00121BDB">
            <w:rPr>
              <w:rFonts w:ascii="Times New Roman" w:hAnsi="Times New Roman"/>
            </w:rPr>
            <w:fldChar w:fldCharType="begin"/>
          </w:r>
          <w:r w:rsidRPr="00121BDB">
            <w:rPr>
              <w:rFonts w:ascii="Times New Roman" w:hAnsi="Times New Roman"/>
            </w:rPr>
            <w:instrText xml:space="preserve"> NUMPAGES </w:instrText>
          </w:r>
          <w:r w:rsidR="00BF3E6C" w:rsidRPr="00121BDB">
            <w:rPr>
              <w:rFonts w:ascii="Times New Roman" w:hAnsi="Times New Roman"/>
            </w:rPr>
            <w:fldChar w:fldCharType="separate"/>
          </w:r>
          <w:r w:rsidR="000B701D">
            <w:rPr>
              <w:rFonts w:ascii="Times New Roman" w:hAnsi="Times New Roman"/>
              <w:noProof/>
            </w:rPr>
            <w:t>4</w:t>
          </w:r>
          <w:r w:rsidR="00BF3E6C" w:rsidRPr="00121BDB">
            <w:rPr>
              <w:rFonts w:ascii="Times New Roman" w:hAnsi="Times New Roman"/>
            </w:rPr>
            <w:fldChar w:fldCharType="end"/>
          </w:r>
          <w:r w:rsidRPr="00121BDB">
            <w:rPr>
              <w:rFonts w:ascii="Times New Roman" w:hAnsi="Times New Roman"/>
            </w:rPr>
            <w:t xml:space="preserve">              </w:t>
          </w:r>
        </w:p>
      </w:tc>
    </w:tr>
  </w:tbl>
  <w:p w:rsidR="00A97C3C" w:rsidRDefault="00A97C3C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19"/>
  </w:num>
  <w:num w:numId="11">
    <w:abstractNumId w:val="17"/>
  </w:num>
  <w:num w:numId="12">
    <w:abstractNumId w:val="4"/>
  </w:num>
  <w:num w:numId="13">
    <w:abstractNumId w:val="14"/>
  </w:num>
  <w:num w:numId="14">
    <w:abstractNumId w:val="3"/>
  </w:num>
  <w:num w:numId="15">
    <w:abstractNumId w:val="13"/>
  </w:num>
  <w:num w:numId="16">
    <w:abstractNumId w:val="22"/>
  </w:num>
  <w:num w:numId="17">
    <w:abstractNumId w:val="5"/>
  </w:num>
  <w:num w:numId="18">
    <w:abstractNumId w:val="12"/>
  </w:num>
  <w:num w:numId="19">
    <w:abstractNumId w:val="9"/>
  </w:num>
  <w:num w:numId="20">
    <w:abstractNumId w:val="2"/>
  </w:num>
  <w:num w:numId="21">
    <w:abstractNumId w:val="18"/>
  </w:num>
  <w:num w:numId="22">
    <w:abstractNumId w:val="1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108C3"/>
    <w:rsid w:val="00021FC3"/>
    <w:rsid w:val="00025C31"/>
    <w:rsid w:val="000667B5"/>
    <w:rsid w:val="00094AAD"/>
    <w:rsid w:val="000B701D"/>
    <w:rsid w:val="00121BDB"/>
    <w:rsid w:val="00156167"/>
    <w:rsid w:val="001D4C1D"/>
    <w:rsid w:val="001E5DB4"/>
    <w:rsid w:val="0020589F"/>
    <w:rsid w:val="00221B9F"/>
    <w:rsid w:val="00243715"/>
    <w:rsid w:val="002748A9"/>
    <w:rsid w:val="002A6511"/>
    <w:rsid w:val="002A67D6"/>
    <w:rsid w:val="002A7DD2"/>
    <w:rsid w:val="002D3881"/>
    <w:rsid w:val="00381C17"/>
    <w:rsid w:val="003B6CDD"/>
    <w:rsid w:val="003C27A8"/>
    <w:rsid w:val="003E4714"/>
    <w:rsid w:val="004132CB"/>
    <w:rsid w:val="00463320"/>
    <w:rsid w:val="004D410B"/>
    <w:rsid w:val="00501BF9"/>
    <w:rsid w:val="00511C54"/>
    <w:rsid w:val="00543C87"/>
    <w:rsid w:val="00543CCE"/>
    <w:rsid w:val="00553ABC"/>
    <w:rsid w:val="005963C6"/>
    <w:rsid w:val="005A7686"/>
    <w:rsid w:val="005B0F27"/>
    <w:rsid w:val="005F428E"/>
    <w:rsid w:val="00616EA9"/>
    <w:rsid w:val="0064657D"/>
    <w:rsid w:val="006636D7"/>
    <w:rsid w:val="006872B7"/>
    <w:rsid w:val="006B1461"/>
    <w:rsid w:val="006C5562"/>
    <w:rsid w:val="006D1EA1"/>
    <w:rsid w:val="0070537C"/>
    <w:rsid w:val="00705852"/>
    <w:rsid w:val="0072437B"/>
    <w:rsid w:val="007413D1"/>
    <w:rsid w:val="007825F1"/>
    <w:rsid w:val="00791C4F"/>
    <w:rsid w:val="007B1475"/>
    <w:rsid w:val="007C7213"/>
    <w:rsid w:val="007E5E83"/>
    <w:rsid w:val="007F6E56"/>
    <w:rsid w:val="00822D6A"/>
    <w:rsid w:val="00860812"/>
    <w:rsid w:val="008B43E0"/>
    <w:rsid w:val="008E0FC6"/>
    <w:rsid w:val="00917BB8"/>
    <w:rsid w:val="00942664"/>
    <w:rsid w:val="009824AF"/>
    <w:rsid w:val="009C0955"/>
    <w:rsid w:val="009C2195"/>
    <w:rsid w:val="009F1292"/>
    <w:rsid w:val="00A102D2"/>
    <w:rsid w:val="00A45A98"/>
    <w:rsid w:val="00A53BB7"/>
    <w:rsid w:val="00A70563"/>
    <w:rsid w:val="00A97C3C"/>
    <w:rsid w:val="00B02630"/>
    <w:rsid w:val="00B80F76"/>
    <w:rsid w:val="00B96723"/>
    <w:rsid w:val="00BA2DE8"/>
    <w:rsid w:val="00BF3E6C"/>
    <w:rsid w:val="00BF6334"/>
    <w:rsid w:val="00C57B4F"/>
    <w:rsid w:val="00CD4775"/>
    <w:rsid w:val="00D02D7B"/>
    <w:rsid w:val="00D373ED"/>
    <w:rsid w:val="00D54191"/>
    <w:rsid w:val="00D54ADA"/>
    <w:rsid w:val="00D55307"/>
    <w:rsid w:val="00D5580D"/>
    <w:rsid w:val="00D64CD1"/>
    <w:rsid w:val="00E04D35"/>
    <w:rsid w:val="00E25665"/>
    <w:rsid w:val="00E72241"/>
    <w:rsid w:val="00E8605C"/>
    <w:rsid w:val="00EB3273"/>
    <w:rsid w:val="00EF7946"/>
    <w:rsid w:val="00F239B0"/>
    <w:rsid w:val="00F2696E"/>
    <w:rsid w:val="00F35049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12AC9-FFE2-4D97-B741-B075BACF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A97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36</cp:revision>
  <cp:lastPrinted>2019-10-17T09:28:00Z</cp:lastPrinted>
  <dcterms:created xsi:type="dcterms:W3CDTF">2019-07-01T04:38:00Z</dcterms:created>
  <dcterms:modified xsi:type="dcterms:W3CDTF">2021-02-03T08:48:00Z</dcterms:modified>
</cp:coreProperties>
</file>