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4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D309DF" w:rsidRPr="00AB5996" w14:paraId="1B36B879" w14:textId="77777777" w:rsidTr="00D309DF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753" w14:textId="77777777" w:rsidR="004300B6" w:rsidRDefault="00D309DF" w:rsidP="004300B6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Автономная некоммерческая организация </w:t>
            </w:r>
          </w:p>
          <w:p w14:paraId="3C4E198B" w14:textId="3C0117A5" w:rsidR="00D309DF" w:rsidRPr="00AB5996" w:rsidRDefault="00D309DF" w:rsidP="004300B6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социального обслуживания</w:t>
            </w:r>
            <w:r w:rsidR="0043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населения «Радуга Добра»</w:t>
            </w:r>
          </w:p>
        </w:tc>
      </w:tr>
      <w:tr w:rsidR="00D309DF" w:rsidRPr="00AB5996" w14:paraId="5082CEE1" w14:textId="77777777" w:rsidTr="00D309D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EAB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2C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</w:t>
            </w: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66F" w14:textId="77777777" w:rsidR="00297A1F" w:rsidRDefault="00297A1F" w:rsidP="00297A1F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Стандарт операционной процедуры</w:t>
            </w:r>
          </w:p>
          <w:p w14:paraId="17526F41" w14:textId="2E29F392" w:rsidR="00D309DF" w:rsidRPr="00297A1F" w:rsidRDefault="00D309DF" w:rsidP="00297A1F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A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Обучение навыкам использования технических средств реабилитации</w:t>
            </w:r>
          </w:p>
        </w:tc>
      </w:tr>
      <w:tr w:rsidR="00D309DF" w:rsidRPr="00AB5996" w14:paraId="3789F4BC" w14:textId="77777777" w:rsidTr="00D309D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568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852CB4">
              <w:rPr>
                <w:rFonts w:ascii="Times New Roman" w:hAnsi="Times New Roman" w:cs="Times New Roman"/>
                <w:lang w:val="kk-KZ"/>
              </w:rPr>
              <w:t>(должность,ФИО):</w:t>
            </w:r>
            <w:r w:rsidRPr="00852C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0E30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14:paraId="1FCF2540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CB9C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14:paraId="469404D3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09DF" w:rsidRPr="00AB5996" w14:paraId="50D4F17C" w14:textId="77777777" w:rsidTr="00D309DF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EA138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C1C8" w14:textId="77777777" w:rsidR="00D309DF" w:rsidRPr="00852CB4" w:rsidRDefault="00D309DF" w:rsidP="00D309DF">
            <w:pPr>
              <w:spacing w:line="23" w:lineRule="atLeast"/>
              <w:ind w:firstLine="10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C05D" w14:textId="77777777" w:rsidR="00D309DF" w:rsidRPr="00852CB4" w:rsidRDefault="00D309DF" w:rsidP="00D309D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9E27" w14:textId="77777777" w:rsidR="00D309DF" w:rsidRPr="00852CB4" w:rsidRDefault="00D309DF" w:rsidP="00D309D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2D6F" w14:textId="77777777" w:rsidR="00D309DF" w:rsidRPr="00852CB4" w:rsidRDefault="00D309DF" w:rsidP="00D309D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D309DF" w:rsidRPr="00AB5996" w14:paraId="7143B3BB" w14:textId="77777777" w:rsidTr="00D309D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10D0C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786" w14:textId="57EF7E42" w:rsidR="00D309DF" w:rsidRPr="00852CB4" w:rsidRDefault="004D34CC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211" w14:textId="37671A52" w:rsidR="00D309DF" w:rsidRPr="00852CB4" w:rsidRDefault="004D34CC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sz w:val="28"/>
                <w:szCs w:val="28"/>
              </w:rPr>
              <w:t>Лебедева Ольга Николаевна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3D78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F85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309DF" w:rsidRPr="00AB5996" w14:paraId="2A557476" w14:textId="77777777" w:rsidTr="00D309D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2F4DC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735E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8FA6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D7A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0EC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309DF" w:rsidRPr="00AB5996" w14:paraId="57A1B02B" w14:textId="77777777" w:rsidTr="00D309D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1ADD5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8B7C" w14:textId="77777777" w:rsidR="00D309DF" w:rsidRPr="00852CB4" w:rsidRDefault="00D309DF" w:rsidP="00D309D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FC58" w14:textId="77777777" w:rsidR="00D309DF" w:rsidRPr="00852CB4" w:rsidRDefault="00D309DF" w:rsidP="00D309D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62E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001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9DF" w:rsidRPr="00AB5996" w14:paraId="11C0BC7A" w14:textId="77777777" w:rsidTr="00D309DF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0383C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51A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14D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FC0F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110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DF" w:rsidRPr="00AB5996" w14:paraId="09963CBE" w14:textId="77777777" w:rsidTr="00D309D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77F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F4D" w14:textId="02F0F211" w:rsidR="00D309DF" w:rsidRPr="00852CB4" w:rsidRDefault="004300B6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07D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1C6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2C5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DF" w:rsidRPr="00AB5996" w14:paraId="6B614C6C" w14:textId="77777777" w:rsidTr="00D309D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6A9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852CB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FBB" w14:textId="77777777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56B6" w14:textId="506E17DE" w:rsidR="00D309DF" w:rsidRPr="00852CB4" w:rsidRDefault="00D309DF" w:rsidP="00D309DF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размещения </w:t>
            </w:r>
            <w:r w:rsidR="00BE2D93" w:rsidRPr="00852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документа </w:t>
            </w:r>
            <w:r w:rsidR="00BE2D93" w:rsidRPr="00852CB4">
              <w:rPr>
                <w:rFonts w:ascii="Times New Roman" w:eastAsia="Calibri" w:hAnsi="Times New Roman" w:cs="Times New Roman"/>
                <w:sz w:val="28"/>
                <w:szCs w:val="28"/>
              </w:rPr>
              <w:t>Документ</w:t>
            </w:r>
            <w:r w:rsidRPr="00852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находится на рабочем месте заведующего отделением социального обслуживания на дому</w:t>
            </w:r>
          </w:p>
        </w:tc>
      </w:tr>
    </w:tbl>
    <w:p w14:paraId="65BBF183" w14:textId="77777777" w:rsidR="0040653C" w:rsidRDefault="0040653C"/>
    <w:p w14:paraId="762D28CC" w14:textId="77777777" w:rsidR="0040653C" w:rsidRDefault="0040653C"/>
    <w:p w14:paraId="3D8314C4" w14:textId="69A929F0" w:rsidR="0040653C" w:rsidRDefault="0040653C"/>
    <w:p w14:paraId="19BABA60" w14:textId="77777777" w:rsidR="00D309DF" w:rsidRDefault="00D309DF"/>
    <w:p w14:paraId="68C08A61" w14:textId="77777777" w:rsidR="0040653C" w:rsidRDefault="00E45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Нижний Тагил </w:t>
      </w:r>
    </w:p>
    <w:p w14:paraId="3D8989A6" w14:textId="77777777" w:rsidR="0040653C" w:rsidRDefault="00E45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60727A0C" w14:textId="77777777" w:rsidR="0040653C" w:rsidRDefault="0040653C"/>
    <w:p w14:paraId="22C108E9" w14:textId="77777777" w:rsidR="0040653C" w:rsidRDefault="0040653C"/>
    <w:p w14:paraId="627F915C" w14:textId="77777777" w:rsidR="0040653C" w:rsidRDefault="0040653C"/>
    <w:p w14:paraId="51B7109F" w14:textId="77777777" w:rsidR="0040653C" w:rsidRDefault="00E45E67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Стандарт операционной процедуры</w:t>
      </w:r>
      <w:r>
        <w:rPr>
          <w:b/>
          <w:sz w:val="28"/>
          <w:szCs w:val="28"/>
        </w:rPr>
        <w:t xml:space="preserve"> </w:t>
      </w:r>
    </w:p>
    <w:p w14:paraId="7705785A" w14:textId="77777777" w:rsidR="0040653C" w:rsidRPr="00B84D62" w:rsidRDefault="00E45E67" w:rsidP="00BE2D93">
      <w:pPr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D62">
        <w:rPr>
          <w:rFonts w:ascii="Times New Roman" w:hAnsi="Times New Roman"/>
          <w:b/>
          <w:sz w:val="28"/>
          <w:szCs w:val="28"/>
        </w:rPr>
        <w:t>Название процедуры:</w:t>
      </w:r>
      <w:r w:rsidRPr="00B84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D62">
        <w:rPr>
          <w:rFonts w:ascii="Times New Roman" w:hAnsi="Times New Roman"/>
          <w:sz w:val="28"/>
          <w:szCs w:val="28"/>
        </w:rPr>
        <w:t>Обучение навыкам использования технических средств реабилитации.</w:t>
      </w:r>
    </w:p>
    <w:p w14:paraId="3A181C44" w14:textId="77777777" w:rsidR="00BE2D93" w:rsidRPr="00BE2D93" w:rsidRDefault="00E45E67" w:rsidP="00BE2D93">
      <w:pPr>
        <w:pStyle w:val="a7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/>
          <w:bCs/>
          <w:sz w:val="28"/>
          <w:szCs w:val="28"/>
          <w:lang w:val="ru-RU"/>
        </w:rPr>
        <w:t>Обучение</w:t>
      </w:r>
      <w:r>
        <w:rPr>
          <w:rFonts w:ascii="Times New Roman" w:hAnsi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получателей социальных услуг использованию и применению</w:t>
      </w:r>
      <w:r>
        <w:rPr>
          <w:rFonts w:ascii="Times New Roman" w:hAnsi="Times New Roman"/>
          <w:sz w:val="28"/>
          <w:szCs w:val="28"/>
          <w:lang w:val="ru-RU"/>
        </w:rPr>
        <w:t xml:space="preserve"> технических средств реабилитации</w:t>
      </w:r>
      <w:r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для компенсации или устранения ограничений жизнедеятельности и максимальной реализации реабилитационного потенциал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для обеспечения нормального образа жизни и восполнения базовых потребностей – возможности выполнять физиологические нужды, навыки самообслуживания, нормально передвигаться и т.п.</w:t>
      </w:r>
    </w:p>
    <w:p w14:paraId="2A89B436" w14:textId="77777777" w:rsidR="00BE2D93" w:rsidRPr="00BE2D93" w:rsidRDefault="00E45E67" w:rsidP="00BE2D93">
      <w:pPr>
        <w:pStyle w:val="a7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E2D93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="00BE2D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2D93"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Отделения, предоставляющие данную </w:t>
      </w:r>
      <w:r w:rsidRPr="00BE2D93">
        <w:rPr>
          <w:rFonts w:ascii="Times New Roman" w:hAnsi="Times New Roman"/>
          <w:sz w:val="28"/>
          <w:szCs w:val="28"/>
          <w:lang w:val="ru-RU"/>
        </w:rPr>
        <w:t>социальную услугу в форме со</w:t>
      </w:r>
      <w:r w:rsidR="001D6E86" w:rsidRPr="00BE2D93">
        <w:rPr>
          <w:rFonts w:ascii="Times New Roman" w:hAnsi="Times New Roman"/>
          <w:sz w:val="28"/>
          <w:szCs w:val="28"/>
          <w:lang w:val="ru-RU"/>
        </w:rPr>
        <w:t>циального обслуживания на дому.</w:t>
      </w:r>
      <w:r w:rsidR="00BE2D9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4B9D552" w14:textId="77777777" w:rsidR="00BE2D93" w:rsidRPr="00BE2D93" w:rsidRDefault="00E45E67" w:rsidP="00BE2D93">
      <w:pPr>
        <w:pStyle w:val="a7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E2D93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  <w:r w:rsidRPr="00BE2D93">
        <w:rPr>
          <w:rFonts w:ascii="Times New Roman" w:hAnsi="Times New Roman"/>
          <w:sz w:val="28"/>
          <w:szCs w:val="28"/>
          <w:lang w:val="ru-RU"/>
        </w:rPr>
        <w:t>Социальный работник</w:t>
      </w:r>
      <w:r w:rsidRPr="00BE2D93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1D6E86" w:rsidRPr="00BE2D93">
        <w:rPr>
          <w:rFonts w:ascii="Times New Roman" w:hAnsi="Times New Roman"/>
          <w:sz w:val="28"/>
          <w:szCs w:val="28"/>
          <w:lang w:val="ru-RU"/>
        </w:rPr>
        <w:t xml:space="preserve">специалист по социальной работе, </w:t>
      </w:r>
      <w:r w:rsidRPr="00BE2D93">
        <w:rPr>
          <w:rFonts w:ascii="Times New Roman" w:hAnsi="Times New Roman"/>
          <w:sz w:val="28"/>
          <w:szCs w:val="28"/>
          <w:lang w:val="ru-RU"/>
        </w:rPr>
        <w:t xml:space="preserve">заведующий отделением социального обслуживания на дому. </w:t>
      </w:r>
    </w:p>
    <w:p w14:paraId="12BEE17A" w14:textId="28398681" w:rsidR="0040653C" w:rsidRPr="00BE2D93" w:rsidRDefault="00E45E67" w:rsidP="00BE2D93">
      <w:pPr>
        <w:pStyle w:val="a7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E2D93">
        <w:rPr>
          <w:rFonts w:ascii="Times New Roman" w:hAnsi="Times New Roman"/>
          <w:b/>
          <w:sz w:val="28"/>
          <w:szCs w:val="28"/>
          <w:lang w:val="ru-RU"/>
        </w:rPr>
        <w:t>Общие сведения:</w:t>
      </w:r>
      <w:r w:rsidRPr="00BE2D9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FDCB86C" w14:textId="77777777" w:rsidR="0040653C" w:rsidRDefault="00E45E67" w:rsidP="00BE2D93">
      <w:pPr>
        <w:pStyle w:val="a7"/>
        <w:widowControl/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Обычно услуга сопряжена с услугой 2.14. Социальная услуга по временному обеспечению техническими средствами ухода, реабилитации и адаптации.</w:t>
      </w:r>
    </w:p>
    <w:p w14:paraId="119BDC6E" w14:textId="77777777" w:rsidR="0040653C" w:rsidRDefault="00E45E67">
      <w:pPr>
        <w:pStyle w:val="a7"/>
        <w:widowControl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Под техническим средством реабилитации (ТСР) понимается любое изделие, инструмент, оборудование, устройство, прибор, приспособление или техническая система, используемые человеком для компенсации ограничений жизнедеятельности, вызванных болезнью или травмой. В зависимости от назначения все ТСР обычно подразделяют на три группы: протезно-ортопедические изделия; средства передвижения; средства, облегчающие жизнь (средства для ухода, быта и досуга).</w:t>
      </w:r>
    </w:p>
    <w:p w14:paraId="23642F98" w14:textId="77777777" w:rsidR="0040653C" w:rsidRDefault="00E45E67" w:rsidP="00BE2D93">
      <w:pPr>
        <w:pStyle w:val="a7"/>
        <w:widowControl/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Обучение направлено на приобретение и отработку навыков получателей социальных услуг (инвалидов) при использовании и применении </w:t>
      </w:r>
      <w:r>
        <w:rPr>
          <w:rFonts w:ascii="Times New Roman" w:hAnsi="Times New Roman"/>
          <w:sz w:val="28"/>
          <w:szCs w:val="28"/>
          <w:lang w:val="ru-RU"/>
        </w:rPr>
        <w:t>технических средств реабилитации для компенсации или устранения ограничений жизнедеятельности и максимальной реализации реабилитационного потенциал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</w:t>
      </w:r>
    </w:p>
    <w:p w14:paraId="5582A692" w14:textId="77777777" w:rsidR="0040653C" w:rsidRDefault="00E45E67" w:rsidP="00BE2D93">
      <w:pPr>
        <w:pStyle w:val="a7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Исполнитель должен полностью владеть информацией об эксплуатации ТСР.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К основной характеристике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TCP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принадлежит безопасность пользования. Она складывается из конструктивного решения, при котором использование технического средства не должно причинять ущерб здоровью, применения материалов, также безвредных для людей, дизайна, не создающего дискомфорт. Эксплуатация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TCP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должна быть простой, его пользованию можно научить любого. Оно должно иметь максимум надежности, легко подвергаться восстановлению, при нештатных ситуациях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lastRenderedPageBreak/>
        <w:t>(авариях) не распадаться на части, способные причинить вред пользователям.</w:t>
      </w:r>
    </w:p>
    <w:p w14:paraId="11118B56" w14:textId="68B555AC" w:rsidR="0040653C" w:rsidRDefault="00E45E67" w:rsidP="00BE2D93">
      <w:pPr>
        <w:pStyle w:val="a7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Персонал должен иметь профессиональную (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специальную)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подготовку и соответствовать квалификационным требованиям, установленным для соответствующей профессии, специальности.</w:t>
      </w:r>
    </w:p>
    <w:p w14:paraId="691B1365" w14:textId="5DA18765" w:rsidR="0040653C" w:rsidRPr="00BE2D93" w:rsidRDefault="00E45E67" w:rsidP="00BE2D93">
      <w:pPr>
        <w:pStyle w:val="a7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E2D93">
        <w:rPr>
          <w:rFonts w:ascii="Times New Roman" w:hAnsi="Times New Roman"/>
          <w:b/>
          <w:sz w:val="28"/>
          <w:szCs w:val="28"/>
        </w:rPr>
        <w:t>Оснащение:</w:t>
      </w:r>
      <w:r w:rsidRPr="00BE2D93">
        <w:rPr>
          <w:rFonts w:ascii="Times New Roman" w:hAnsi="Times New Roman"/>
          <w:sz w:val="28"/>
          <w:szCs w:val="28"/>
        </w:rPr>
        <w:t xml:space="preserve"> </w:t>
      </w:r>
    </w:p>
    <w:p w14:paraId="59CF691F" w14:textId="77777777" w:rsidR="00BE2D93" w:rsidRDefault="00E45E67" w:rsidP="00BE2D9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E2D93">
        <w:rPr>
          <w:rFonts w:ascii="Times New Roman" w:hAnsi="Times New Roman"/>
          <w:sz w:val="28"/>
          <w:szCs w:val="28"/>
        </w:rPr>
        <w:t>Памятки по использованию ТСР.</w:t>
      </w:r>
    </w:p>
    <w:p w14:paraId="03D2AD96" w14:textId="77777777" w:rsidR="00BE2D93" w:rsidRDefault="00E45E67" w:rsidP="00BE2D93">
      <w:pPr>
        <w:pStyle w:val="a7"/>
        <w:numPr>
          <w:ilvl w:val="0"/>
          <w:numId w:val="7"/>
        </w:numPr>
        <w:ind w:left="426" w:hanging="66"/>
        <w:jc w:val="both"/>
        <w:rPr>
          <w:rFonts w:ascii="Times New Roman" w:hAnsi="Times New Roman"/>
          <w:sz w:val="28"/>
          <w:szCs w:val="28"/>
          <w:lang w:val="ru-RU"/>
        </w:rPr>
      </w:pPr>
      <w:r w:rsidRPr="00BE2D93">
        <w:rPr>
          <w:rFonts w:ascii="Times New Roman" w:hAnsi="Times New Roman"/>
          <w:sz w:val="28"/>
          <w:szCs w:val="28"/>
          <w:lang w:val="ru-RU"/>
        </w:rPr>
        <w:t>Технические средства реабилитаци</w:t>
      </w:r>
      <w:r w:rsidR="00BE2D93">
        <w:rPr>
          <w:rFonts w:ascii="Times New Roman" w:hAnsi="Times New Roman"/>
          <w:sz w:val="28"/>
          <w:szCs w:val="28"/>
          <w:lang w:val="ru-RU"/>
        </w:rPr>
        <w:t>и в пункте проката размещены по</w:t>
      </w:r>
    </w:p>
    <w:p w14:paraId="4CE29FBB" w14:textId="4459FFED" w:rsidR="0040653C" w:rsidRPr="00BE2D93" w:rsidRDefault="00E45E67" w:rsidP="00BE2D9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E2D93">
        <w:rPr>
          <w:rFonts w:ascii="Times New Roman" w:hAnsi="Times New Roman"/>
          <w:sz w:val="28"/>
          <w:szCs w:val="28"/>
        </w:rPr>
        <w:t>внутреннему стандарту учреждения.</w:t>
      </w:r>
    </w:p>
    <w:p w14:paraId="2D16B1E9" w14:textId="70BF9B65" w:rsidR="0040653C" w:rsidRPr="00D0727C" w:rsidRDefault="00E45E67" w:rsidP="00D0727C">
      <w:pPr>
        <w:pStyle w:val="a7"/>
        <w:numPr>
          <w:ilvl w:val="0"/>
          <w:numId w:val="1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0727C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14:paraId="5AB3FD7A" w14:textId="423C269D" w:rsidR="0040653C" w:rsidRDefault="00FB2567" w:rsidP="00D0727C">
      <w:pPr>
        <w:pStyle w:val="a7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45E67">
        <w:rPr>
          <w:rFonts w:ascii="Times New Roman" w:hAnsi="Times New Roman"/>
          <w:sz w:val="28"/>
          <w:szCs w:val="28"/>
          <w:lang w:val="ru-RU"/>
        </w:rPr>
        <w:t>.</w:t>
      </w:r>
      <w:r w:rsidR="005149E4">
        <w:rPr>
          <w:rFonts w:ascii="Times New Roman" w:hAnsi="Times New Roman"/>
          <w:sz w:val="28"/>
          <w:szCs w:val="28"/>
          <w:lang w:val="ru-RU"/>
        </w:rPr>
        <w:t>1</w:t>
      </w:r>
      <w:r w:rsidR="00E45E67">
        <w:rPr>
          <w:rFonts w:ascii="Times New Roman" w:hAnsi="Times New Roman"/>
          <w:sz w:val="28"/>
          <w:szCs w:val="28"/>
          <w:lang w:val="ru-RU"/>
        </w:rPr>
        <w:t xml:space="preserve">. Информирование, консультирование (что это за средство, для </w:t>
      </w:r>
      <w:r w:rsidR="00A614FE">
        <w:rPr>
          <w:rFonts w:ascii="Times New Roman" w:hAnsi="Times New Roman"/>
          <w:sz w:val="28"/>
          <w:szCs w:val="28"/>
          <w:lang w:val="ru-RU"/>
        </w:rPr>
        <w:t>чего предназначено</w:t>
      </w:r>
      <w:r w:rsidR="00E45E67">
        <w:rPr>
          <w:rFonts w:ascii="Times New Roman" w:hAnsi="Times New Roman"/>
          <w:sz w:val="28"/>
          <w:szCs w:val="28"/>
          <w:lang w:val="ru-RU"/>
        </w:rPr>
        <w:t>, меры безопасности, согласно инструкции к средству);</w:t>
      </w:r>
    </w:p>
    <w:p w14:paraId="46101640" w14:textId="0CAD7FD2" w:rsidR="0040653C" w:rsidRDefault="00FB2567" w:rsidP="00D0727C">
      <w:pPr>
        <w:pStyle w:val="a7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45E67">
        <w:rPr>
          <w:rFonts w:ascii="Times New Roman" w:hAnsi="Times New Roman"/>
          <w:sz w:val="28"/>
          <w:szCs w:val="28"/>
          <w:lang w:val="ru-RU"/>
        </w:rPr>
        <w:t>.</w:t>
      </w:r>
      <w:r w:rsidR="005149E4">
        <w:rPr>
          <w:rFonts w:ascii="Times New Roman" w:hAnsi="Times New Roman"/>
          <w:sz w:val="28"/>
          <w:szCs w:val="28"/>
          <w:lang w:val="ru-RU"/>
        </w:rPr>
        <w:t>2</w:t>
      </w:r>
      <w:r w:rsidR="00E45E67">
        <w:rPr>
          <w:rFonts w:ascii="Times New Roman" w:hAnsi="Times New Roman"/>
          <w:sz w:val="28"/>
          <w:szCs w:val="28"/>
          <w:lang w:val="ru-RU"/>
        </w:rPr>
        <w:t xml:space="preserve">. Инструктирование (разъяснение и показ приёмов пользования ТСР); </w:t>
      </w:r>
    </w:p>
    <w:p w14:paraId="7232626C" w14:textId="3B756E2F" w:rsidR="0040653C" w:rsidRDefault="00FB2567" w:rsidP="00D0727C">
      <w:pPr>
        <w:pStyle w:val="a7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45E67">
        <w:rPr>
          <w:rFonts w:ascii="Times New Roman" w:hAnsi="Times New Roman"/>
          <w:sz w:val="28"/>
          <w:szCs w:val="28"/>
          <w:lang w:val="ru-RU"/>
        </w:rPr>
        <w:t>.</w:t>
      </w:r>
      <w:r w:rsidR="005149E4">
        <w:rPr>
          <w:rFonts w:ascii="Times New Roman" w:hAnsi="Times New Roman"/>
          <w:sz w:val="28"/>
          <w:szCs w:val="28"/>
          <w:lang w:val="ru-RU"/>
        </w:rPr>
        <w:t>3</w:t>
      </w:r>
      <w:r w:rsidR="00E45E67">
        <w:rPr>
          <w:rFonts w:ascii="Times New Roman" w:hAnsi="Times New Roman"/>
          <w:sz w:val="28"/>
          <w:szCs w:val="28"/>
          <w:lang w:val="ru-RU"/>
        </w:rPr>
        <w:t xml:space="preserve">. Обучение (отработка навыков и умений пользованием ТСР, </w:t>
      </w:r>
      <w:r w:rsidR="00A614FE">
        <w:rPr>
          <w:rFonts w:ascii="Times New Roman" w:hAnsi="Times New Roman"/>
          <w:sz w:val="28"/>
          <w:szCs w:val="28"/>
          <w:lang w:val="ru-RU"/>
        </w:rPr>
        <w:t>совместно с обучающим</w:t>
      </w:r>
      <w:r w:rsidR="00E45E67">
        <w:rPr>
          <w:rFonts w:ascii="Times New Roman" w:hAnsi="Times New Roman"/>
          <w:sz w:val="28"/>
          <w:szCs w:val="28"/>
          <w:lang w:val="ru-RU"/>
        </w:rPr>
        <w:t xml:space="preserve"> и самостоятельно);</w:t>
      </w:r>
    </w:p>
    <w:p w14:paraId="11F6CCE3" w14:textId="1A82674B" w:rsidR="0040653C" w:rsidRDefault="00FB2567" w:rsidP="00D0727C">
      <w:pPr>
        <w:pStyle w:val="a7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45E67">
        <w:rPr>
          <w:rFonts w:ascii="Times New Roman" w:hAnsi="Times New Roman"/>
          <w:sz w:val="28"/>
          <w:szCs w:val="28"/>
          <w:lang w:val="ru-RU"/>
        </w:rPr>
        <w:t>.</w:t>
      </w:r>
      <w:r w:rsidR="005149E4">
        <w:rPr>
          <w:rFonts w:ascii="Times New Roman" w:hAnsi="Times New Roman"/>
          <w:sz w:val="28"/>
          <w:szCs w:val="28"/>
          <w:lang w:val="ru-RU"/>
        </w:rPr>
        <w:t>4</w:t>
      </w:r>
      <w:r w:rsidR="00E45E67">
        <w:rPr>
          <w:rFonts w:ascii="Times New Roman" w:hAnsi="Times New Roman"/>
          <w:sz w:val="28"/>
          <w:szCs w:val="28"/>
          <w:lang w:val="ru-RU"/>
        </w:rPr>
        <w:t xml:space="preserve">. Контроль обучения (наблюдение) - самостоятельный показ клиентами, полученных навыков; - в случае неправильного выполнения шагов инструкции по пользованию ТСР, возвращаемся к пунктам </w:t>
      </w:r>
      <w:r w:rsidR="00127391">
        <w:rPr>
          <w:rFonts w:ascii="Times New Roman" w:hAnsi="Times New Roman"/>
          <w:sz w:val="28"/>
          <w:szCs w:val="28"/>
          <w:lang w:val="ru-RU"/>
        </w:rPr>
        <w:t>6.2</w:t>
      </w:r>
      <w:r w:rsidR="00E45E67">
        <w:rPr>
          <w:rFonts w:ascii="Times New Roman" w:hAnsi="Times New Roman"/>
          <w:sz w:val="28"/>
          <w:szCs w:val="28"/>
          <w:lang w:val="ru-RU"/>
        </w:rPr>
        <w:t>-6.</w:t>
      </w:r>
      <w:r w:rsidR="00127391">
        <w:rPr>
          <w:rFonts w:ascii="Times New Roman" w:hAnsi="Times New Roman"/>
          <w:sz w:val="28"/>
          <w:szCs w:val="28"/>
          <w:lang w:val="ru-RU"/>
        </w:rPr>
        <w:t>3</w:t>
      </w:r>
    </w:p>
    <w:p w14:paraId="441ED97C" w14:textId="322627D8" w:rsidR="0040653C" w:rsidRDefault="00FB2567" w:rsidP="00D0727C">
      <w:pPr>
        <w:pStyle w:val="a8"/>
        <w:spacing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5E67">
        <w:rPr>
          <w:sz w:val="28"/>
          <w:szCs w:val="28"/>
        </w:rPr>
        <w:t>.</w:t>
      </w:r>
      <w:r w:rsidR="005149E4">
        <w:rPr>
          <w:sz w:val="28"/>
          <w:szCs w:val="28"/>
        </w:rPr>
        <w:t>5</w:t>
      </w:r>
      <w:r w:rsidR="00E45E67">
        <w:rPr>
          <w:sz w:val="28"/>
          <w:szCs w:val="28"/>
        </w:rPr>
        <w:t xml:space="preserve">. Выдача рекомендаций (памяток). </w:t>
      </w:r>
    </w:p>
    <w:p w14:paraId="6E8A4CA6" w14:textId="17568B4D" w:rsidR="0040653C" w:rsidRPr="00D0727C" w:rsidRDefault="00651CFB" w:rsidP="00D0727C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727C">
        <w:rPr>
          <w:rFonts w:ascii="Times New Roman" w:hAnsi="Times New Roman"/>
          <w:b/>
          <w:bCs/>
          <w:sz w:val="28"/>
          <w:szCs w:val="28"/>
          <w:lang w:val="ru-RU"/>
        </w:rPr>
        <w:t>Область и способы проверки выполнения:</w:t>
      </w:r>
      <w:r w:rsidR="00E45E67" w:rsidRPr="00D0727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45E67" w:rsidRPr="00D0727C">
        <w:rPr>
          <w:rFonts w:ascii="Times New Roman" w:hAnsi="Times New Roman"/>
          <w:sz w:val="28"/>
          <w:szCs w:val="28"/>
          <w:lang w:val="ru-RU"/>
        </w:rPr>
        <w:t xml:space="preserve">Услуга предоставляется по мере возникновения потребности. </w:t>
      </w:r>
      <w:r w:rsidR="00E45E67" w:rsidRPr="00D0727C">
        <w:rPr>
          <w:rFonts w:ascii="Times New Roman" w:hAnsi="Times New Roman"/>
          <w:sz w:val="28"/>
          <w:szCs w:val="28"/>
        </w:rPr>
        <w:t>Технические средства в пункте проката выдаются на срок до 6 месяцев.</w:t>
      </w:r>
    </w:p>
    <w:p w14:paraId="3DAA7751" w14:textId="77777777" w:rsidR="00D0727C" w:rsidRDefault="00BE1E29" w:rsidP="00D0727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Областью проверки является процесс оказания услуги и результат услуги – удовлетворенность получателя социальных услуг. </w:t>
      </w:r>
    </w:p>
    <w:p w14:paraId="154B9398" w14:textId="4FB03185" w:rsidR="00022A95" w:rsidRPr="00D0727C" w:rsidRDefault="00022A95" w:rsidP="00D0727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Выполненная услуга фиксируется в журнале учета оказания социальных услуг</w:t>
      </w:r>
      <w:r w:rsidR="005869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подтверждается подписями социального работника и получателя социальных услуг.</w:t>
      </w:r>
    </w:p>
    <w:p w14:paraId="4AAB7E01" w14:textId="2310C32A" w:rsidR="0040653C" w:rsidRDefault="00E45E67" w:rsidP="00D072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Особые указания:</w:t>
      </w:r>
    </w:p>
    <w:p w14:paraId="7F0EE028" w14:textId="77777777" w:rsidR="00A614FE" w:rsidRDefault="00E45E67" w:rsidP="00297A1F">
      <w:pPr>
        <w:pStyle w:val="a7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Безопасность. Любое ТСР должно быть безопасным, надежным и прочным и способствовать сохранению физического и психического здоровья человека. </w:t>
      </w:r>
    </w:p>
    <w:p w14:paraId="2526EB3C" w14:textId="77777777" w:rsidR="00A614FE" w:rsidRDefault="00E45E67" w:rsidP="00297A1F">
      <w:pPr>
        <w:pStyle w:val="a7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614FE">
        <w:rPr>
          <w:rFonts w:ascii="Times New Roman" w:hAnsi="Times New Roman"/>
          <w:sz w:val="28"/>
          <w:szCs w:val="28"/>
          <w:lang w:val="ru-RU"/>
        </w:rPr>
        <w:t>Функциональность и простота в обслуживании. ТСР должны давать тот объем помощи, который необходим, в частности, улучшение мобильности в квартире, на улице, самостоятельное бытовое обслуживание.</w:t>
      </w:r>
    </w:p>
    <w:p w14:paraId="7BA887BC" w14:textId="77777777" w:rsidR="00A614FE" w:rsidRDefault="00E45E67" w:rsidP="00297A1F">
      <w:pPr>
        <w:pStyle w:val="a7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614FE">
        <w:rPr>
          <w:rFonts w:ascii="Times New Roman" w:hAnsi="Times New Roman"/>
          <w:sz w:val="28"/>
          <w:szCs w:val="28"/>
          <w:lang w:val="ru-RU"/>
        </w:rPr>
        <w:t xml:space="preserve">Комфорт. Любые приспособления должны улучшать положение тела и движения человека с ограниченными возможностями здоровья. ТСР не должны затруднять физиологическую активность человека или препятствовать ей. </w:t>
      </w:r>
    </w:p>
    <w:p w14:paraId="72523E7F" w14:textId="77777777" w:rsidR="00A614FE" w:rsidRDefault="00E45E67" w:rsidP="00297A1F">
      <w:pPr>
        <w:pStyle w:val="a7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614FE">
        <w:rPr>
          <w:rFonts w:ascii="Times New Roman" w:hAnsi="Times New Roman"/>
          <w:sz w:val="28"/>
          <w:szCs w:val="28"/>
          <w:lang w:val="ru-RU"/>
        </w:rPr>
        <w:t xml:space="preserve">Индивидуальность подбора ТСР с учетом социальных критериев человека с ограниченными возможностями здоровья. При назначении </w:t>
      </w:r>
      <w:r w:rsidRPr="00A614FE">
        <w:rPr>
          <w:rFonts w:ascii="Times New Roman" w:hAnsi="Times New Roman"/>
          <w:sz w:val="28"/>
          <w:szCs w:val="28"/>
          <w:lang w:val="ru-RU"/>
        </w:rPr>
        <w:lastRenderedPageBreak/>
        <w:t>конкретных ТСР должны приниматься во внимание (в дополнении к установленным медицинским показаниям) такие факторы, как, социальное окружение человека, условия его проживания (обеспеченность жильем, возможность использования ТСР в имеющемся жилищном пространстве); возраст; уровень притязаний человека на обеспечение ТСР.</w:t>
      </w:r>
    </w:p>
    <w:p w14:paraId="3E87C2DB" w14:textId="58348F63" w:rsidR="00480629" w:rsidRPr="00A614FE" w:rsidRDefault="00E45E67" w:rsidP="00297A1F">
      <w:pPr>
        <w:pStyle w:val="a7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614FE">
        <w:rPr>
          <w:rFonts w:ascii="Times New Roman" w:hAnsi="Times New Roman"/>
          <w:sz w:val="28"/>
          <w:szCs w:val="28"/>
          <w:lang w:val="ru-RU"/>
        </w:rPr>
        <w:t>Доступность информации об использовании ТСР. Принимая во внимание возрастные изменения, индивидуальные особенности в силу заболеваний (глухота, слепота) обучение должно проходить по разным форматам.</w:t>
      </w:r>
      <w:r w:rsidR="002E7FE8" w:rsidRPr="00A614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241B236" w14:textId="77777777" w:rsidR="00297A1F" w:rsidRDefault="002E7FE8" w:rsidP="00297A1F">
      <w:pPr>
        <w:pStyle w:val="a7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Формат обучения для слабослышащих и с полной потерей слуха клиентов: печатные материалы,</w:t>
      </w:r>
      <w:r w:rsidR="00480629">
        <w:rPr>
          <w:rFonts w:ascii="Times New Roman" w:hAnsi="Times New Roman"/>
          <w:sz w:val="28"/>
          <w:szCs w:val="28"/>
          <w:lang w:val="ru-RU"/>
        </w:rPr>
        <w:t xml:space="preserve"> обучающие видео-уроки,</w:t>
      </w:r>
      <w:r>
        <w:rPr>
          <w:rFonts w:ascii="Times New Roman" w:hAnsi="Times New Roman"/>
          <w:sz w:val="28"/>
          <w:szCs w:val="28"/>
          <w:lang w:val="ru-RU"/>
        </w:rPr>
        <w:t xml:space="preserve"> визуализация действий по использованию ТСР.</w:t>
      </w:r>
    </w:p>
    <w:p w14:paraId="50BBC4B0" w14:textId="5D5EC950" w:rsidR="002E7FE8" w:rsidRDefault="002E7FE8" w:rsidP="00297A1F">
      <w:pPr>
        <w:pStyle w:val="a7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Формат обучения</w:t>
      </w:r>
      <w:r w:rsidR="00744051">
        <w:rPr>
          <w:rFonts w:ascii="Times New Roman" w:hAnsi="Times New Roman"/>
          <w:sz w:val="28"/>
          <w:szCs w:val="28"/>
          <w:lang w:val="ru-RU"/>
        </w:rPr>
        <w:t xml:space="preserve"> для клиентов, страдающих потерей зрения: проговаривание</w:t>
      </w:r>
      <w:r w:rsidR="00C03598">
        <w:rPr>
          <w:rFonts w:ascii="Times New Roman" w:hAnsi="Times New Roman"/>
          <w:sz w:val="28"/>
          <w:szCs w:val="28"/>
          <w:lang w:val="ru-RU"/>
        </w:rPr>
        <w:t>, помощь аудиоплеера, тактильное знакомство с правилами использования ТСР.</w:t>
      </w:r>
    </w:p>
    <w:p w14:paraId="16EC5BB2" w14:textId="77777777" w:rsidR="0040653C" w:rsidRDefault="00E45E67" w:rsidP="00973CDA">
      <w:pPr>
        <w:pStyle w:val="a7"/>
        <w:spacing w:line="276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Нормативные ссылки</w:t>
      </w:r>
    </w:p>
    <w:p w14:paraId="048688C5" w14:textId="77777777" w:rsidR="0040653C" w:rsidRDefault="00E45E6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38399D85" w14:textId="77777777" w:rsidR="0040653C" w:rsidRDefault="00E45E6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155CDAC0" w14:textId="01E701E6" w:rsidR="0040653C" w:rsidRDefault="00E45E6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</w:t>
      </w:r>
      <w:r w:rsidR="00A61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 от 11.08.2015 № 482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«Об утверждении стандартов социальных услуг в новой редакции» (с внесёнными изменениями).</w:t>
      </w:r>
    </w:p>
    <w:p w14:paraId="2640ACA7" w14:textId="77777777" w:rsidR="007D3E84" w:rsidRDefault="007D3E84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1A2C3F4A" w14:textId="77777777" w:rsidR="007D3E84" w:rsidRDefault="007D3E84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2E84AB56" w14:textId="77777777" w:rsidR="007D3E84" w:rsidRDefault="007D3E84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32ADD796" w14:textId="77777777" w:rsidR="007D3E84" w:rsidRDefault="007D3E84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06945072" w14:textId="42C7BB84" w:rsidR="00FD6685" w:rsidRDefault="00FD6685" w:rsidP="00480629">
      <w:pPr>
        <w:pStyle w:val="a7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3718FBF" w14:textId="77777777" w:rsidR="006C5749" w:rsidRDefault="006C5749" w:rsidP="00480629">
      <w:pPr>
        <w:pStyle w:val="a7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AA94F33" w14:textId="0C50216A" w:rsidR="00FD6685" w:rsidRDefault="00FD6685" w:rsidP="00480629">
      <w:pPr>
        <w:pStyle w:val="a7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791E875E" w14:textId="77777777" w:rsidR="00FD6685" w:rsidRDefault="00FD6685" w:rsidP="00480629">
      <w:pPr>
        <w:pStyle w:val="a7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85DDA1B" w14:textId="77777777" w:rsidR="00297A1F" w:rsidRDefault="00297A1F" w:rsidP="00480629">
      <w:pPr>
        <w:pStyle w:val="a7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168169E" w14:textId="77777777" w:rsidR="00297A1F" w:rsidRDefault="00297A1F" w:rsidP="00480629">
      <w:pPr>
        <w:pStyle w:val="a7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13861DF" w14:textId="77777777" w:rsidR="00297A1F" w:rsidRDefault="00297A1F" w:rsidP="00480629">
      <w:pPr>
        <w:pStyle w:val="a7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14:paraId="693E720F" w14:textId="77777777" w:rsidR="00480629" w:rsidRDefault="00480629" w:rsidP="00480629">
      <w:pPr>
        <w:pStyle w:val="a7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BAA8D2E" w14:textId="10941657" w:rsidR="00480629" w:rsidRDefault="00480629" w:rsidP="00FD6685">
      <w:pPr>
        <w:pStyle w:val="a7"/>
        <w:spacing w:line="276" w:lineRule="auto"/>
        <w:ind w:left="0" w:firstLine="567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ПРИЛОЖЕНИЕ </w:t>
      </w:r>
    </w:p>
    <w:p w14:paraId="1C29BB02" w14:textId="07F8066F" w:rsidR="007634A7" w:rsidRDefault="007634A7" w:rsidP="00FD6685">
      <w:pPr>
        <w:pStyle w:val="a7"/>
        <w:spacing w:line="276" w:lineRule="auto"/>
        <w:ind w:left="0" w:firstLine="567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2828FACF" w14:textId="77777777" w:rsidR="007634A7" w:rsidRDefault="007634A7" w:rsidP="007634A7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рекомендации</w:t>
      </w:r>
    </w:p>
    <w:p w14:paraId="472AA679" w14:textId="77777777" w:rsidR="007634A7" w:rsidRDefault="007634A7" w:rsidP="007634A7">
      <w:pPr>
        <w:pStyle w:val="a7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Божков И. А., Севастьянов М. А. Технические средства реабилитации: теория и практика назначения и подбора в медицинской организации // Росс. семейный врач. </w:t>
      </w:r>
      <w:r w:rsidRPr="00FA0A2A">
        <w:rPr>
          <w:rFonts w:ascii="Times New Roman" w:hAnsi="Times New Roman"/>
          <w:sz w:val="28"/>
          <w:szCs w:val="28"/>
          <w:lang w:val="ru-RU"/>
        </w:rPr>
        <w:t>2013. Номер, страницы С. 23-27.</w:t>
      </w:r>
      <w:r>
        <w:rPr>
          <w:rFonts w:ascii="Times New Roman" w:hAnsi="Times New Roman"/>
          <w:sz w:val="28"/>
          <w:szCs w:val="28"/>
          <w:lang w:val="ru-RU"/>
        </w:rPr>
        <w:t>Волчок Н. Сделать жизнь более удобной // Социальная защита, 2014, № 1(259), страницы 5-7.</w:t>
      </w:r>
    </w:p>
    <w:p w14:paraId="4A41508A" w14:textId="77777777" w:rsidR="007634A7" w:rsidRDefault="007634A7" w:rsidP="007634A7">
      <w:pPr>
        <w:pStyle w:val="a7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Инструкции по применению ТС.</w:t>
      </w:r>
    </w:p>
    <w:p w14:paraId="46BB9D24" w14:textId="77777777" w:rsidR="007634A7" w:rsidRDefault="007634A7" w:rsidP="007634A7">
      <w:pPr>
        <w:pStyle w:val="a7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11B8779" w14:textId="77777777" w:rsidR="007634A7" w:rsidRDefault="007634A7" w:rsidP="00FD6685">
      <w:pPr>
        <w:pStyle w:val="a7"/>
        <w:spacing w:line="276" w:lineRule="auto"/>
        <w:ind w:left="0" w:firstLine="567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78F6EE7B" w14:textId="77777777" w:rsidR="00480629" w:rsidRDefault="00480629">
      <w:pPr>
        <w:pStyle w:val="a7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27DD8B" w14:textId="77777777" w:rsidR="00480629" w:rsidRDefault="00480629">
      <w:pPr>
        <w:pStyle w:val="a7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6AF6E2" w14:textId="77777777" w:rsidR="00480629" w:rsidRDefault="00480629">
      <w:pPr>
        <w:pStyle w:val="a7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8E30B1" w14:textId="77777777" w:rsidR="0040653C" w:rsidRDefault="00297A1F">
      <w:pPr>
        <w:pStyle w:val="a7"/>
        <w:spacing w:line="276" w:lineRule="auto"/>
        <w:ind w:left="-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pict w14:anchorId="33B88420">
          <v:rect id="Надпись 2" o:spid="_x0000_s1027" style="position:absolute;left:0;text-align:left;margin-left:-30.3pt;margin-top:-40.2pt;width:433.5pt;height:259.5pt;z-index:251657216" strokeweight=".74pt">
            <v:fill color2="fill darken(118)" recolor="t" rotate="t" o:detectmouseclick="t" method="linear sigma" focus="100%" type="gradient"/>
            <v:textbox style="mso-next-textbox:#Надпись 2">
              <w:txbxContent>
                <w:p w14:paraId="60D4D657" w14:textId="77777777" w:rsidR="0040653C" w:rsidRPr="00BC6991" w:rsidRDefault="00E45E67">
                  <w:pPr>
                    <w:pStyle w:val="aa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BC699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ПАМЯТКА</w:t>
                  </w:r>
                </w:p>
                <w:p w14:paraId="602FAF9B" w14:textId="77777777" w:rsidR="00901FB2" w:rsidRPr="00BC6991" w:rsidRDefault="00BC6991">
                  <w:pPr>
                    <w:pStyle w:val="aa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BC699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</w:t>
                  </w:r>
                  <w:r w:rsidR="00901FB2" w:rsidRPr="00BC699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о использованию ТСР</w:t>
                  </w:r>
                </w:p>
                <w:p w14:paraId="2070ABA5" w14:textId="77777777" w:rsidR="0040653C" w:rsidRDefault="00901FB2" w:rsidP="00901FB2">
                  <w:pPr>
                    <w:pStyle w:val="aa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</w:t>
                  </w:r>
                </w:p>
                <w:p w14:paraId="1D75A6B8" w14:textId="77777777" w:rsidR="00901FB2" w:rsidRPr="00BC6991" w:rsidRDefault="00E45E67" w:rsidP="00901FB2">
                  <w:pPr>
                    <w:pStyle w:val="a7"/>
                    <w:numPr>
                      <w:ilvl w:val="1"/>
                      <w:numId w:val="2"/>
                    </w:numP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BC6991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Использовать ТСР по назначению.</w:t>
                  </w:r>
                </w:p>
                <w:p w14:paraId="4589A926" w14:textId="77777777" w:rsidR="00901FB2" w:rsidRPr="00BC6991" w:rsidRDefault="00E45E67" w:rsidP="00901FB2">
                  <w:pPr>
                    <w:pStyle w:val="a7"/>
                    <w:numPr>
                      <w:ilvl w:val="1"/>
                      <w:numId w:val="2"/>
                    </w:numP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BC6991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Не производить разборку, поддерживать в исправном состоянии.</w:t>
                  </w:r>
                </w:p>
                <w:p w14:paraId="4D2AFB82" w14:textId="77777777" w:rsidR="00901FB2" w:rsidRPr="00BC6991" w:rsidRDefault="00E45E67" w:rsidP="00901FB2">
                  <w:pPr>
                    <w:pStyle w:val="a7"/>
                    <w:numPr>
                      <w:ilvl w:val="1"/>
                      <w:numId w:val="2"/>
                    </w:numP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BC6991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Если заметили неполадки ТСР, незамедлительно сообщить </w:t>
                  </w:r>
                  <w:proofErr w:type="spellStart"/>
                  <w:r w:rsidRPr="00BC6991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соц.работнику</w:t>
                  </w:r>
                  <w:proofErr w:type="spellEnd"/>
                  <w:r w:rsidRPr="00BC6991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или заведующей.</w:t>
                  </w:r>
                </w:p>
                <w:p w14:paraId="04FF88DD" w14:textId="77777777" w:rsidR="0040653C" w:rsidRPr="00BC6991" w:rsidRDefault="00E45E67" w:rsidP="00901FB2">
                  <w:pPr>
                    <w:pStyle w:val="a7"/>
                    <w:numPr>
                      <w:ilvl w:val="1"/>
                      <w:numId w:val="2"/>
                    </w:numP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BC6991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Бережно относиться к ТСР.</w:t>
                  </w:r>
                </w:p>
                <w:p w14:paraId="5A324992" w14:textId="77777777" w:rsidR="00FA0A2A" w:rsidRDefault="00BC6991" w:rsidP="00FA0A2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2CE89D2" wp14:editId="088A1077">
                        <wp:extent cx="1933575" cy="1076325"/>
                        <wp:effectExtent l="19050" t="19050" r="9525" b="9525"/>
                        <wp:docPr id="2" name="Рисунок 12" descr="C:\Users\Анна\AppData\Local\Microsoft\Windows\INetCache\Content.Word\2de50c20eb1de5ccbdb63d80838472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Анна\AppData\Local\Microsoft\Windows\INetCache\Content.Word\2de50c20eb1de5ccbdb63d80838472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7200"/>
                                          </a14:imgEffect>
                                          <a14:imgEffect>
                                            <a14:brightnessContrast bright="-20000" contrast="4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710" cy="107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3D4439" w14:textId="77777777" w:rsidR="00FA0A2A" w:rsidRPr="00FA0A2A" w:rsidRDefault="00FA0A2A" w:rsidP="00BC699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76F24EA" w14:textId="77777777" w:rsidR="00FA0A2A" w:rsidRDefault="00FA0A2A" w:rsidP="00FA0A2A">
                  <w:pPr>
                    <w:pStyle w:val="a7"/>
                    <w:ind w:left="786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type="square"/>
          </v:rect>
        </w:pict>
      </w:r>
    </w:p>
    <w:p w14:paraId="7BEEC20D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11975F11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7726C9D7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261A45ED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58F962A6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724A5411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2888013F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04A4851D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369357FE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4DA3766D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1303148F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78386712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26D7156D" w14:textId="77777777" w:rsidR="00FE5911" w:rsidRDefault="00297A1F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pict w14:anchorId="48B19CB0">
          <v:rect id="_x0000_s1026" style="position:absolute;left:0;text-align:left;margin-left:-37.8pt;margin-top:7.9pt;width:429pt;height:270.75pt;z-index:-251658240" wrapcoords="-36 -55 -36 21600 21636 21600 21636 -55 -36 -55" strokeweight=".74pt">
            <v:fill color2="black" o:detectmouseclick="t"/>
            <v:textbox style="mso-next-textbox:#_x0000_s1026">
              <w:txbxContent>
                <w:p w14:paraId="51046EC1" w14:textId="77777777" w:rsidR="0040653C" w:rsidRPr="00FE5911" w:rsidRDefault="00E45E67">
                  <w:pPr>
                    <w:pStyle w:val="aa"/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E3A47"/>
                      <w:sz w:val="36"/>
                      <w:szCs w:val="36"/>
                      <w:u w:val="single"/>
                      <w:lang w:eastAsia="ru-RU"/>
                    </w:rPr>
                  </w:pPr>
                  <w:r w:rsidRPr="00FE5911">
                    <w:rPr>
                      <w:rFonts w:ascii="Times New Roman" w:eastAsia="Times New Roman" w:hAnsi="Times New Roman" w:cs="Times New Roman"/>
                      <w:b/>
                      <w:color w:val="2E3A47"/>
                      <w:sz w:val="36"/>
                      <w:szCs w:val="36"/>
                      <w:u w:val="single"/>
                      <w:lang w:eastAsia="ru-RU"/>
                    </w:rPr>
                    <w:t>ПАМЯТКА</w:t>
                  </w:r>
                </w:p>
                <w:p w14:paraId="3219C7CB" w14:textId="77777777" w:rsidR="00901FB2" w:rsidRPr="00FE5911" w:rsidRDefault="00901FB2">
                  <w:pPr>
                    <w:pStyle w:val="aa"/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E3A47"/>
                      <w:sz w:val="36"/>
                      <w:szCs w:val="36"/>
                      <w:u w:val="single"/>
                      <w:lang w:eastAsia="ru-RU"/>
                    </w:rPr>
                  </w:pPr>
                  <w:r w:rsidRPr="00FE5911">
                    <w:rPr>
                      <w:rFonts w:ascii="Times New Roman" w:eastAsia="Times New Roman" w:hAnsi="Times New Roman" w:cs="Times New Roman"/>
                      <w:b/>
                      <w:color w:val="2E3A47"/>
                      <w:sz w:val="36"/>
                      <w:szCs w:val="36"/>
                      <w:u w:val="single"/>
                      <w:lang w:eastAsia="ru-RU"/>
                    </w:rPr>
                    <w:t>по использованию ходунков</w:t>
                  </w:r>
                </w:p>
                <w:p w14:paraId="22127CE2" w14:textId="77777777" w:rsidR="00FA0A2A" w:rsidRDefault="00901FB2" w:rsidP="00FA0A2A">
                  <w:pPr>
                    <w:pStyle w:val="aa"/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E3A47"/>
                      <w:sz w:val="28"/>
                      <w:szCs w:val="28"/>
                      <w:lang w:eastAsia="ru-RU"/>
                    </w:rPr>
                    <w:t xml:space="preserve">    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3A64A2C" wp14:editId="0D784285">
                        <wp:extent cx="1263162" cy="1066800"/>
                        <wp:effectExtent l="0" t="0" r="0" b="0"/>
                        <wp:docPr id="6" name="Рисунок 16" descr="C:\Users\Анна\AppData\Local\Microsoft\Windows\INetCache\Content.Word\fc3a20c3acf302f3113bbcce11d1f0cd.220x2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Анна\AppData\Local\Microsoft\Windows\INetCache\Content.Word\fc3a20c3acf302f3113bbcce11d1f0cd.220x2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130" cy="1077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E3A47"/>
                      <w:sz w:val="28"/>
                      <w:szCs w:val="28"/>
                      <w:lang w:eastAsia="ru-RU"/>
                    </w:rPr>
                    <w:t xml:space="preserve">             </w:t>
                  </w:r>
                </w:p>
                <w:p w14:paraId="3A4D9E2D" w14:textId="77777777" w:rsidR="0040653C" w:rsidRDefault="00E45E67">
                  <w:pPr>
                    <w:pStyle w:val="aa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  <w:t>Никогда не пытайтесь подняться по лестнице с ходунками.</w:t>
                  </w:r>
                </w:p>
                <w:p w14:paraId="4EBA0767" w14:textId="77777777" w:rsidR="0040653C" w:rsidRDefault="00E45E67">
                  <w:pPr>
                    <w:pStyle w:val="aa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  <w:t>Не переносите весь вес тела на одну сторону рамы — ходунки могут опрокинуться.</w:t>
                  </w:r>
                </w:p>
                <w:p w14:paraId="51BAD934" w14:textId="77777777" w:rsidR="0040653C" w:rsidRDefault="00E45E67">
                  <w:pPr>
                    <w:pStyle w:val="aa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  <w:t>Не ходите по мокрому полу.</w:t>
                  </w:r>
                  <w:r w:rsidR="00901FB2" w:rsidRPr="00901FB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082B711E" w14:textId="77777777" w:rsidR="0040653C" w:rsidRDefault="00E45E67">
                  <w:pPr>
                    <w:pStyle w:val="aa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  <w:t>Не пытайтесь ходить, когда у вас кружится голова.</w:t>
                  </w:r>
                </w:p>
                <w:p w14:paraId="059F3B7B" w14:textId="77777777" w:rsidR="0040653C" w:rsidRDefault="00E45E67">
                  <w:pPr>
                    <w:pStyle w:val="aa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  <w:t>Не используйте ходунки, если не уверены в их исправности.</w:t>
                  </w:r>
                </w:p>
                <w:p w14:paraId="48B99E46" w14:textId="77777777" w:rsidR="0040653C" w:rsidRDefault="00E45E67">
                  <w:pPr>
                    <w:pStyle w:val="aa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  <w:t>Регулярно проверяйте наконечники ходунков на предмет повреждений и потертостей.</w:t>
                  </w:r>
                </w:p>
                <w:p w14:paraId="13F9ACF0" w14:textId="77777777" w:rsidR="0040653C" w:rsidRDefault="0040653C">
                  <w:pPr>
                    <w:pStyle w:val="aa"/>
                  </w:pPr>
                </w:p>
              </w:txbxContent>
            </v:textbox>
            <w10:wrap type="tight"/>
          </v:rect>
        </w:pict>
      </w:r>
    </w:p>
    <w:p w14:paraId="245DC20D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3BEA4331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252079CE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69EDA6DB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5D270349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3CB5FEA8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2CF74587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2533255C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362D01AE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77A64015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3FF55798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422E46B3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60BAA504" w14:textId="53D32240" w:rsidR="00506170" w:rsidRDefault="00506170" w:rsidP="00506170">
      <w:pPr>
        <w:pStyle w:val="a7"/>
        <w:tabs>
          <w:tab w:val="left" w:pos="0"/>
        </w:tabs>
        <w:ind w:left="0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061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данного стандарта операционной процедуры</w:t>
      </w:r>
    </w:p>
    <w:p w14:paraId="65D5D8E0" w14:textId="57EDEB3B" w:rsidR="00506170" w:rsidRDefault="00506170" w:rsidP="00506170">
      <w:pPr>
        <w:pStyle w:val="a7"/>
        <w:tabs>
          <w:tab w:val="left" w:pos="0"/>
        </w:tabs>
        <w:ind w:left="0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14:paraId="5D6618D0" w14:textId="77777777" w:rsidR="00506170" w:rsidRPr="00506170" w:rsidRDefault="00506170" w:rsidP="00506170">
      <w:pPr>
        <w:pStyle w:val="a7"/>
        <w:tabs>
          <w:tab w:val="left" w:pos="0"/>
        </w:tabs>
        <w:ind w:left="0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14:paraId="735962A4" w14:textId="77777777" w:rsidR="00506170" w:rsidRPr="00506170" w:rsidRDefault="00506170" w:rsidP="00506170">
      <w:pPr>
        <w:pStyle w:val="a7"/>
        <w:tabs>
          <w:tab w:val="left" w:pos="0"/>
        </w:tabs>
        <w:spacing w:line="30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50617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Экземпляр                                                            Должность</w:t>
      </w:r>
    </w:p>
    <w:p w14:paraId="472A25C3" w14:textId="77777777" w:rsidR="00506170" w:rsidRPr="00506170" w:rsidRDefault="00506170" w:rsidP="00506170">
      <w:pPr>
        <w:pStyle w:val="a7"/>
        <w:tabs>
          <w:tab w:val="left" w:pos="0"/>
        </w:tabs>
        <w:spacing w:line="30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50617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Оригинал </w:t>
      </w:r>
    </w:p>
    <w:p w14:paraId="36F7912B" w14:textId="77777777" w:rsidR="00506170" w:rsidRPr="00506170" w:rsidRDefault="00506170" w:rsidP="00506170">
      <w:pPr>
        <w:pStyle w:val="a7"/>
        <w:tabs>
          <w:tab w:val="left" w:pos="0"/>
        </w:tabs>
        <w:spacing w:line="30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50617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Копия</w:t>
      </w:r>
    </w:p>
    <w:p w14:paraId="5288E49A" w14:textId="77777777" w:rsidR="00506170" w:rsidRPr="00506170" w:rsidRDefault="00506170" w:rsidP="00506170">
      <w:pPr>
        <w:pStyle w:val="a7"/>
        <w:tabs>
          <w:tab w:val="left" w:pos="0"/>
        </w:tabs>
        <w:spacing w:line="30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14:paraId="68B6DACF" w14:textId="30D2D05C" w:rsidR="00506170" w:rsidRDefault="00506170" w:rsidP="00506170">
      <w:pPr>
        <w:pStyle w:val="a7"/>
        <w:tabs>
          <w:tab w:val="left" w:pos="0"/>
        </w:tabs>
        <w:spacing w:line="30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061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Ответственные исполнители ознакомлены и обязуются исполнять:</w:t>
      </w:r>
    </w:p>
    <w:p w14:paraId="2290295F" w14:textId="77777777" w:rsidR="00506170" w:rsidRPr="00506170" w:rsidRDefault="00506170" w:rsidP="00506170">
      <w:pPr>
        <w:pStyle w:val="a7"/>
        <w:tabs>
          <w:tab w:val="left" w:pos="0"/>
        </w:tabs>
        <w:spacing w:line="30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05"/>
        <w:gridCol w:w="2314"/>
        <w:gridCol w:w="2687"/>
      </w:tblGrid>
      <w:tr w:rsidR="00506170" w:rsidRPr="00506170" w14:paraId="39E642D7" w14:textId="77777777" w:rsidTr="00456D29">
        <w:tc>
          <w:tcPr>
            <w:tcW w:w="675" w:type="dxa"/>
          </w:tcPr>
          <w:p w14:paraId="49F5227F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1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14:paraId="5C39402C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1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14:paraId="1B5FB041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1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  <w:proofErr w:type="spellEnd"/>
          </w:p>
        </w:tc>
        <w:tc>
          <w:tcPr>
            <w:tcW w:w="2940" w:type="dxa"/>
          </w:tcPr>
          <w:p w14:paraId="40F9600A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1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  <w:proofErr w:type="spellEnd"/>
          </w:p>
        </w:tc>
      </w:tr>
      <w:tr w:rsidR="00506170" w:rsidRPr="00506170" w14:paraId="2CE0B155" w14:textId="77777777" w:rsidTr="00456D29">
        <w:tc>
          <w:tcPr>
            <w:tcW w:w="675" w:type="dxa"/>
          </w:tcPr>
          <w:p w14:paraId="519EF876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5AAEB636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7B910C4E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0692129C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6170" w:rsidRPr="00506170" w14:paraId="67892E3B" w14:textId="77777777" w:rsidTr="00456D29">
        <w:tc>
          <w:tcPr>
            <w:tcW w:w="675" w:type="dxa"/>
          </w:tcPr>
          <w:p w14:paraId="42FFC85F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69B6AAB8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1FC03641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2BEE1430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6170" w:rsidRPr="00506170" w14:paraId="3ECB3BFF" w14:textId="77777777" w:rsidTr="00456D29">
        <w:tc>
          <w:tcPr>
            <w:tcW w:w="675" w:type="dxa"/>
          </w:tcPr>
          <w:p w14:paraId="14BF8180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11D7CCD7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1EDA1692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2FA096F0" w14:textId="77777777" w:rsidR="00506170" w:rsidRPr="00506170" w:rsidRDefault="00506170" w:rsidP="00456D29">
            <w:pPr>
              <w:pStyle w:val="a7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5C97211" w14:textId="77777777" w:rsidR="00506170" w:rsidRPr="00604476" w:rsidRDefault="00506170" w:rsidP="00506170">
      <w:pPr>
        <w:pStyle w:val="a7"/>
        <w:tabs>
          <w:tab w:val="left" w:pos="1440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6C29B424" w14:textId="77777777" w:rsidR="00506170" w:rsidRPr="00996B70" w:rsidRDefault="00506170" w:rsidP="00506170">
      <w:pPr>
        <w:tabs>
          <w:tab w:val="left" w:pos="1440"/>
        </w:tabs>
        <w:ind w:firstLine="907"/>
        <w:rPr>
          <w:rFonts w:eastAsia="Times New Roman"/>
          <w:color w:val="000000"/>
          <w:sz w:val="28"/>
          <w:szCs w:val="28"/>
          <w:lang w:eastAsia="ru-RU"/>
        </w:rPr>
      </w:pPr>
    </w:p>
    <w:p w14:paraId="045B0AC3" w14:textId="77777777" w:rsidR="0040653C" w:rsidRDefault="0040653C">
      <w:pPr>
        <w:pStyle w:val="a7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sectPr w:rsidR="0040653C" w:rsidSect="0040653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>
    <w:nsid w:val="16404325"/>
    <w:multiLevelType w:val="hybridMultilevel"/>
    <w:tmpl w:val="2A6C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1B4B"/>
    <w:multiLevelType w:val="hybridMultilevel"/>
    <w:tmpl w:val="6388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711D"/>
    <w:multiLevelType w:val="multilevel"/>
    <w:tmpl w:val="AD6C8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25130F27"/>
    <w:multiLevelType w:val="hybridMultilevel"/>
    <w:tmpl w:val="07B8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25FD7"/>
    <w:multiLevelType w:val="multilevel"/>
    <w:tmpl w:val="282EE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653C"/>
    <w:rsid w:val="00022A95"/>
    <w:rsid w:val="000D2D07"/>
    <w:rsid w:val="00127391"/>
    <w:rsid w:val="001D6E86"/>
    <w:rsid w:val="0020587D"/>
    <w:rsid w:val="00297A1F"/>
    <w:rsid w:val="002E7FE8"/>
    <w:rsid w:val="0040653C"/>
    <w:rsid w:val="004300B6"/>
    <w:rsid w:val="00480629"/>
    <w:rsid w:val="004D34CC"/>
    <w:rsid w:val="00506170"/>
    <w:rsid w:val="005149E4"/>
    <w:rsid w:val="00586932"/>
    <w:rsid w:val="005B162B"/>
    <w:rsid w:val="0060352D"/>
    <w:rsid w:val="00604F12"/>
    <w:rsid w:val="00651CFB"/>
    <w:rsid w:val="006C5749"/>
    <w:rsid w:val="00744051"/>
    <w:rsid w:val="007634A7"/>
    <w:rsid w:val="00766DC7"/>
    <w:rsid w:val="007D3E84"/>
    <w:rsid w:val="00852CB4"/>
    <w:rsid w:val="00901FB2"/>
    <w:rsid w:val="00973CDA"/>
    <w:rsid w:val="00981284"/>
    <w:rsid w:val="00A015FC"/>
    <w:rsid w:val="00A614FE"/>
    <w:rsid w:val="00A67470"/>
    <w:rsid w:val="00B84D62"/>
    <w:rsid w:val="00B876D6"/>
    <w:rsid w:val="00B94F68"/>
    <w:rsid w:val="00BA4D0B"/>
    <w:rsid w:val="00BC6991"/>
    <w:rsid w:val="00BD0DAD"/>
    <w:rsid w:val="00BE1E29"/>
    <w:rsid w:val="00BE2D93"/>
    <w:rsid w:val="00C03598"/>
    <w:rsid w:val="00CA5E2F"/>
    <w:rsid w:val="00CF6BEB"/>
    <w:rsid w:val="00D0727C"/>
    <w:rsid w:val="00D309DF"/>
    <w:rsid w:val="00E436C9"/>
    <w:rsid w:val="00E45E67"/>
    <w:rsid w:val="00F55DD2"/>
    <w:rsid w:val="00FA0A2A"/>
    <w:rsid w:val="00FB2567"/>
    <w:rsid w:val="00FD6685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1497CC"/>
  <w15:docId w15:val="{33496F64-F266-40DE-832A-A7BE0E45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5A5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40653C"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a4">
    <w:name w:val="Body Text"/>
    <w:basedOn w:val="a"/>
    <w:rsid w:val="0040653C"/>
    <w:pPr>
      <w:spacing w:after="140"/>
    </w:pPr>
  </w:style>
  <w:style w:type="paragraph" w:styleId="a5">
    <w:name w:val="List"/>
    <w:basedOn w:val="a4"/>
    <w:rsid w:val="0040653C"/>
    <w:rPr>
      <w:rFonts w:cs="Arial Unicode MS"/>
    </w:rPr>
  </w:style>
  <w:style w:type="paragraph" w:customStyle="1" w:styleId="10">
    <w:name w:val="Название объекта1"/>
    <w:basedOn w:val="a"/>
    <w:qFormat/>
    <w:rsid w:val="004065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40653C"/>
    <w:pPr>
      <w:suppressLineNumbers/>
    </w:pPr>
    <w:rPr>
      <w:rFonts w:cs="Arial Unicode MS"/>
    </w:rPr>
  </w:style>
  <w:style w:type="paragraph" w:styleId="a7">
    <w:name w:val="List Paragraph"/>
    <w:basedOn w:val="a"/>
    <w:qFormat/>
    <w:rsid w:val="001E4C2A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qFormat/>
    <w:rsid w:val="00535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D5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0653C"/>
  </w:style>
  <w:style w:type="paragraph" w:styleId="ab">
    <w:name w:val="header"/>
    <w:aliases w:val="Знак"/>
    <w:basedOn w:val="a"/>
    <w:link w:val="ac"/>
    <w:unhideWhenUsed/>
    <w:rsid w:val="00D309DF"/>
    <w:pPr>
      <w:tabs>
        <w:tab w:val="center" w:pos="4677"/>
        <w:tab w:val="right" w:pos="9355"/>
      </w:tabs>
      <w:suppressAutoHyphens w:val="0"/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Верхний колонтитул Знак"/>
    <w:aliases w:val="Знак Знак"/>
    <w:basedOn w:val="a0"/>
    <w:link w:val="ab"/>
    <w:rsid w:val="00D309D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dc:description/>
  <cp:lastModifiedBy>Методист</cp:lastModifiedBy>
  <cp:revision>46</cp:revision>
  <cp:lastPrinted>2022-04-21T06:48:00Z</cp:lastPrinted>
  <dcterms:created xsi:type="dcterms:W3CDTF">2022-04-14T06:10:00Z</dcterms:created>
  <dcterms:modified xsi:type="dcterms:W3CDTF">2022-06-22T04:57:00Z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