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EA" w:rsidRDefault="00716BEA">
      <w:pPr>
        <w:jc w:val="both"/>
      </w:pPr>
    </w:p>
    <w:tbl>
      <w:tblPr>
        <w:tblpPr w:leftFromText="180" w:rightFromText="180" w:vertAnchor="page" w:horzAnchor="page" w:tblpX="1520" w:tblpY="238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210"/>
        <w:gridCol w:w="1925"/>
        <w:gridCol w:w="336"/>
        <w:gridCol w:w="1052"/>
        <w:gridCol w:w="2594"/>
      </w:tblGrid>
      <w:tr w:rsidR="00716BEA" w:rsidTr="00955DB4">
        <w:trPr>
          <w:trHeight w:val="428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автономное стационарное учреждение социального обслуживания Свердловской области "Щелкунский психоневрологический интернат "</w:t>
            </w:r>
          </w:p>
        </w:tc>
      </w:tr>
      <w:tr w:rsidR="00716BEA" w:rsidTr="00955DB4">
        <w:trPr>
          <w:trHeight w:val="13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Стандарт операционной процедуры</w:t>
            </w:r>
          </w:p>
          <w:p w:rsidR="00716BEA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исследование личности</w:t>
            </w:r>
          </w:p>
        </w:tc>
      </w:tr>
      <w:tr w:rsidR="00716BEA" w:rsidTr="00955DB4">
        <w:trPr>
          <w:trHeight w:val="42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(должность,ФИО)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6BEA" w:rsidTr="00955DB4">
        <w:trPr>
          <w:trHeight w:val="239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spacing w:line="23" w:lineRule="atLeast"/>
              <w:ind w:firstLine="10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955DB4" w:rsidP="00955DB4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716BEA" w:rsidTr="00955DB4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Е.В.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6BEA" w:rsidTr="00955DB4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Дворянинова Т.В.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6BEA" w:rsidTr="00955DB4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716BEA" w:rsidP="00955DB4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EA" w:rsidRDefault="00716BEA" w:rsidP="00955DB4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6BEA" w:rsidTr="00955DB4">
        <w:trPr>
          <w:trHeight w:val="83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EA" w:rsidTr="00955DB4"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ind w:firstLineChars="50"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  <w:p w:rsidR="00716BEA" w:rsidRDefault="00716BEA" w:rsidP="00955DB4">
            <w:pPr>
              <w:spacing w:line="23" w:lineRule="atLeast"/>
              <w:ind w:firstLineChars="50"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EA" w:rsidTr="00955DB4"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955DB4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EA" w:rsidRDefault="00716BEA" w:rsidP="00955DB4">
            <w:pPr>
              <w:spacing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BEA" w:rsidRDefault="00716BEA">
      <w:pPr>
        <w:spacing w:line="23" w:lineRule="atLeast"/>
        <w:jc w:val="both"/>
        <w:rPr>
          <w:b/>
          <w:color w:val="000000"/>
          <w:sz w:val="28"/>
          <w:szCs w:val="28"/>
        </w:rPr>
      </w:pPr>
    </w:p>
    <w:p w:rsidR="00716BEA" w:rsidRDefault="00716BEA">
      <w:pPr>
        <w:spacing w:line="23" w:lineRule="atLeast"/>
        <w:jc w:val="center"/>
        <w:rPr>
          <w:b/>
          <w:color w:val="000000"/>
          <w:sz w:val="28"/>
          <w:szCs w:val="28"/>
        </w:rPr>
      </w:pPr>
    </w:p>
    <w:p w:rsidR="00716BEA" w:rsidRDefault="00716BEA">
      <w:pPr>
        <w:spacing w:line="23" w:lineRule="atLeast"/>
        <w:jc w:val="both"/>
        <w:rPr>
          <w:b/>
          <w:color w:val="000000"/>
          <w:sz w:val="28"/>
          <w:szCs w:val="28"/>
        </w:rPr>
      </w:pPr>
    </w:p>
    <w:p w:rsidR="00716BEA" w:rsidRDefault="00716BEA">
      <w:pPr>
        <w:spacing w:line="23" w:lineRule="atLeast"/>
        <w:jc w:val="center"/>
        <w:rPr>
          <w:b/>
          <w:color w:val="000000"/>
          <w:sz w:val="28"/>
          <w:szCs w:val="28"/>
        </w:rPr>
      </w:pPr>
    </w:p>
    <w:p w:rsidR="00716BEA" w:rsidRDefault="00716BEA">
      <w:pPr>
        <w:spacing w:line="23" w:lineRule="atLeast"/>
        <w:jc w:val="center"/>
        <w:rPr>
          <w:b/>
          <w:color w:val="000000"/>
          <w:sz w:val="28"/>
          <w:szCs w:val="28"/>
        </w:rPr>
      </w:pPr>
    </w:p>
    <w:p w:rsidR="00716BEA" w:rsidRDefault="00716BEA">
      <w:pPr>
        <w:spacing w:line="23" w:lineRule="atLeast"/>
        <w:jc w:val="both"/>
        <w:rPr>
          <w:b/>
          <w:color w:val="000000"/>
          <w:sz w:val="28"/>
          <w:szCs w:val="28"/>
        </w:rPr>
      </w:pPr>
    </w:p>
    <w:p w:rsidR="00716BEA" w:rsidRDefault="00955DB4" w:rsidP="00955DB4">
      <w:pPr>
        <w:ind w:firstLineChars="950" w:firstLine="2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с.Щелкун, 2022 год</w:t>
      </w:r>
    </w:p>
    <w:p w:rsidR="00716BEA" w:rsidRDefault="00716BEA">
      <w:pPr>
        <w:jc w:val="both"/>
      </w:pPr>
    </w:p>
    <w:p w:rsidR="00716BEA" w:rsidRDefault="00955DB4">
      <w:pPr>
        <w:pStyle w:val="a4"/>
        <w:pageBreakBefore/>
        <w:tabs>
          <w:tab w:val="left" w:pos="-284"/>
          <w:tab w:val="left" w:pos="1134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716BEA" w:rsidRDefault="00955DB4" w:rsidP="00955DB4">
      <w:pPr>
        <w:ind w:firstLineChars="25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Название процедуры: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 и исследование личности.</w:t>
      </w:r>
    </w:p>
    <w:p w:rsidR="00716BEA" w:rsidRDefault="00955DB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eastAsia="zh-CN" w:bidi="ar"/>
        </w:rPr>
        <w:t>составление заключения психологического обследования, прогноза; разработка рекомендаций по психологической коррекции личности получателя социальных услуг.</w:t>
      </w:r>
    </w:p>
    <w:p w:rsidR="00716BEA" w:rsidRDefault="00955DB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Круглосуточное пребывание в стационарном учреждении (общий тип и милосердие).</w:t>
      </w:r>
    </w:p>
    <w:p w:rsidR="00716BEA" w:rsidRDefault="00955DB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за выполнение: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психолог (проведение исследования), средний (подготовка документации, организация процедуры) и младший (обеспечение присутствия ПСУ, контроль нежелательных (агрессивных) поведенческих реакций) медицинский персонал.</w:t>
      </w:r>
    </w:p>
    <w:p w:rsidR="00716BEA" w:rsidRDefault="00955DB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Определение/Общие сведения: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Личностная диагностика – диагностика, направленная на получение информации о темпераменте, характере, когнитивном стиле, мотивах, интересах и других психических свойствах, определяющих направленность и стиль деятельности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BEA" w:rsidRDefault="00955DB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>Специальное и табельное техническое оснащение поставщика социальных услуг (оборудование, приборы, аппаратура и т.д.): Рабочий кабинет: стол, стул, шкаф для документации, шкаф для одежды, настольная лампа, стул для клиента, компьютерная техника, телефон, копировальный аппарат, принтер.</w:t>
      </w:r>
      <w:r>
        <w:rPr>
          <w:rFonts w:ascii="Times New Roman" w:hAnsi="Times New Roman" w:cs="Times New Roman"/>
          <w:sz w:val="28"/>
          <w:szCs w:val="28"/>
        </w:rPr>
        <w:t xml:space="preserve"> Методики, ориентированные на исследование когнитивной и личностной сфер, стиля межличностного взаимодействия, уровня адаптивности.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 w:bidi="ar"/>
        </w:rPr>
        <w:t>Расходные материалы: канцелярские товары, расходные материалы для копировального аппарата и принтера.</w:t>
      </w:r>
    </w:p>
    <w:p w:rsidR="00716BEA" w:rsidRDefault="00955DB4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716BEA" w:rsidRDefault="00955DB4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Используемые методы: наблюдение, направленная беседа, психологический анализ данных сопроводительной документации, тестирование с применением методик, ориентированных на исследование особенностей когнитивной и личностной сфер с учетом влияния их на адаптацию ПСУ как в микро-, так и в макросоциуме.   </w:t>
      </w:r>
    </w:p>
    <w:p w:rsidR="00716BEA" w:rsidRDefault="00955DB4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Используемые методики: стандартизованные и валидные. Например, для исследования памяти:  запоминание 10 слов, запоминание 12 предметов, воспроизведение рассказов, метод пиктограмм и др.; для исследования внимания: таблицы Шульте, отсчет по Крепелину и др.; для исследования мышления: «классификация», вербальный и предметный варианты методик исключения, образование аналогий, толкование пословиц и др.; для количественной и структурной оценки интеллектуального развития и сохранности когнитивных функций: тест Векслера, Монреальская шкала оценки когнитивных функций, тест Равена, 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MMSE</w:t>
      </w:r>
      <w:r>
        <w:rPr>
          <w:rFonts w:ascii="Times New Roman" w:hAnsi="Times New Roman" w:cs="Times New Roman"/>
          <w:sz w:val="28"/>
          <w:szCs w:val="28"/>
        </w:rPr>
        <w:t xml:space="preserve"> и др.; для исследования личности: СМИЛ, МЦВ, тест Роршаха, тест Кеттела, шкалы оценки тревожных и депрессивных состояний, шкала суицидального риска и др;, для оценки стиля межличностного взаимодействия и адаптивных возможностей: фрустрационный тест Розенцвейга, тест Сонди,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nds</w:t>
      </w:r>
      <w:r>
        <w:rPr>
          <w:rFonts w:ascii="Times New Roman" w:hAnsi="Times New Roman" w:cs="Times New Roman"/>
          <w:sz w:val="28"/>
          <w:szCs w:val="28"/>
        </w:rPr>
        <w:t xml:space="preserve"> – тест и др.</w:t>
      </w:r>
    </w:p>
    <w:p w:rsidR="00716BEA" w:rsidRDefault="00955DB4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Исследование проводится либо в условиях непосредственного контакта с ПСУ, либо с сопровождением персонала в случае нестабильности психического состояния, возможности агрессивных реакций. </w:t>
      </w:r>
    </w:p>
    <w:p w:rsidR="00716BEA" w:rsidRDefault="00955DB4">
      <w:pPr>
        <w:pStyle w:val="a5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Этапы:</w:t>
      </w:r>
    </w:p>
    <w:p w:rsidR="00716BEA" w:rsidRDefault="00955DB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ind w:left="284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документацией, содержащей сведения о биографических данных обследуемого, повседневной поведенческой активности, а также с медицинской информацией (анамнез заболевания, проведенное лечение, достигнутые в его ходе результаты, катамнез, актуальное психическое состояние).</w:t>
      </w:r>
    </w:p>
    <w:p w:rsidR="00716BEA" w:rsidRDefault="00955DB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ind w:left="284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ПСУ для беседы. С лежачими ПСУ беседа проводится в комнате проживания. Установление контакта,  обоюдное знакомство, разъяснения относительно цели исследования, порядка его проведения, оценки результатов. Данные, полученные в ходе ознакомительного опроса (личные данные, место нахождения, дата поступления в интернат и т.п.) служат не только цели знакомства, но и позволяют оценить уровень алло- и аутопсихической ориентировки обследуемого, способность к продуктивному контакту, особенности реагирования на ситуацию, доступность речевого, слухового и визуального каналов получения информации, возможность дальнейшего взаимодействия.</w:t>
      </w:r>
    </w:p>
    <w:p w:rsidR="00716BEA" w:rsidRDefault="00955DB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ind w:left="284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полученной на предварительных этапах информации составляется приблизительная программа исследования с учетом имеющегося заболевания, внутренней картины болезни, степени сохранности когнитивных функций, возможности осуществления самоконтроля (поведенческого, эмоционального, волевого) и выявленных в ходе опроса проблем. В ходе исследования возможна корректировка, связанная с постепенным поступлением новой информации.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Обследованию подлежат такие психические функции и процессы как память, внимание, мышление, моторика, восприятие и речь с целью выяснения влияния состояния и особенностей этих функций на повседневную жизнь испытуемого, его способность выполнять ту или иную деятельность. Личностные характеристики: темперамент, превалирующие в структуре личности характерологические черты, стиль взаимодействия с окружением, уровень самостоятельности в решении проблем разного типа, показатели мотивационно-волевой сферы также выявляются и оцениваются в совокупности с характеристиками когнитивной сферы, создавая индивидуальный портрет ПСУ.</w:t>
      </w:r>
    </w:p>
    <w:p w:rsidR="00716BEA" w:rsidRDefault="00955DB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ind w:left="284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в ходе их анализа выявляются проблемы взаимодействия с окружением и средой, возможности их решения, личностные ресурсы обследуемого, а также ресурсы среды, которые могут быть задействованы в процессе решения возникающих проблем с целью их устранения или минимизации влияния их на качество жизни. </w:t>
      </w:r>
    </w:p>
    <w:p w:rsidR="00716BEA" w:rsidRDefault="00955DB4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ind w:left="284" w:firstLine="0"/>
        <w:jc w:val="both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заключение из вводной, содержательной, резюмирующей и рекомендательной частей. Вводная часть содержит описание актуального психического состояния, сохранности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видов ориентировки, особенностей контакта и деятельности, эмоционального реагирования на ситуацию исследования, основанное на опросе и наблюдении с возможностью использования иллюстрирующих высказываний самого обследуемого и содержащихся в сопровождающей документации фактов. Содержательная часть содержит описание состояния психических процессов и функций, личностных характеристик, личностных ресурсов на примерах выполнения заданий соответствующих методик (как результата, так и процесса деятельности). Резюмирующая часть  на основе анализа данных отражает интегративный портрет ПСУ, уровень функционирования (когнитивного и социального), прогноз его адаптивных возможностей, основные проблемы. Рекомендательная часть содержит рекомендации по задействованию личностных и средовых ресурсов, связанных с решением проблем, описанных в резюмирующей.</w:t>
      </w:r>
    </w:p>
    <w:p w:rsidR="00716BEA" w:rsidRDefault="00955DB4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соответствия заключения по итогам обследования поставленным задачам проводится в рамках плановой проверки документации.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Выполненная услуга учитывается до двух раз в год.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Вносится в акт предоставления социальных услуг, который подписывается руководителем учреждения и получателем социальных услуг.</w:t>
      </w:r>
    </w:p>
    <w:p w:rsidR="00716BEA" w:rsidRDefault="00716BEA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6BEA" w:rsidRDefault="00955DB4">
      <w:pPr>
        <w:pStyle w:val="a5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716BEA" w:rsidRDefault="00716BEA">
      <w:pPr>
        <w:pStyle w:val="a5"/>
        <w:tabs>
          <w:tab w:val="left" w:pos="1440"/>
        </w:tabs>
        <w:ind w:firstLine="90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16BEA" w:rsidRDefault="00955DB4" w:rsidP="00955DB4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28 декабря 2013 года № 442-ФЗ «Об основах социального обслуживания граждан в Российской Федерации».</w:t>
      </w:r>
    </w:p>
    <w:p w:rsidR="00716BEA" w:rsidRDefault="00955DB4" w:rsidP="00955DB4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области».</w:t>
      </w:r>
    </w:p>
    <w:p w:rsidR="00716BEA" w:rsidRDefault="00955DB4" w:rsidP="00955DB4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955DB4" w:rsidRDefault="00955DB4">
      <w:pPr>
        <w:pStyle w:val="10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55DB4" w:rsidRDefault="00955DB4">
      <w:pPr>
        <w:pStyle w:val="10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55DB4" w:rsidRDefault="00955DB4">
      <w:pPr>
        <w:pStyle w:val="10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55DB4" w:rsidRDefault="00955DB4">
      <w:pPr>
        <w:pStyle w:val="10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55DB4" w:rsidRDefault="00955DB4">
      <w:pPr>
        <w:pStyle w:val="10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55DB4" w:rsidRDefault="00955DB4">
      <w:pPr>
        <w:pStyle w:val="10"/>
        <w:tabs>
          <w:tab w:val="left" w:pos="1440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16BEA" w:rsidRDefault="00955DB4">
      <w:pPr>
        <w:pStyle w:val="10"/>
        <w:tabs>
          <w:tab w:val="left" w:pos="1440"/>
        </w:tabs>
        <w:ind w:left="0" w:firstLine="0"/>
        <w:jc w:val="right"/>
        <w:rPr>
          <w:b/>
          <w:sz w:val="21"/>
          <w:szCs w:val="21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Приложения </w:t>
      </w:r>
    </w:p>
    <w:p w:rsidR="00716BEA" w:rsidRDefault="00955DB4">
      <w:pPr>
        <w:tabs>
          <w:tab w:val="left" w:pos="1440"/>
        </w:tabs>
        <w:ind w:firstLine="907"/>
        <w:jc w:val="center"/>
        <w:rPr>
          <w:sz w:val="21"/>
          <w:szCs w:val="21"/>
        </w:rPr>
      </w:pPr>
      <w:r>
        <w:rPr>
          <w:b/>
          <w:sz w:val="21"/>
          <w:szCs w:val="21"/>
        </w:rPr>
        <w:t>Государственное автономное стационарное учреждение социального обслуживания Свердловской области "Щелкунский психоневрологический интернат"</w:t>
      </w:r>
    </w:p>
    <w:p w:rsidR="00716BEA" w:rsidRDefault="00955DB4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624015, Щелкун с,  ул. Советская, д. 314</w:t>
      </w:r>
    </w:p>
    <w:p w:rsidR="00716BEA" w:rsidRDefault="00955DB4">
      <w:pPr>
        <w:jc w:val="right"/>
        <w:rPr>
          <w:sz w:val="21"/>
          <w:szCs w:val="21"/>
        </w:rPr>
      </w:pPr>
      <w:r>
        <w:rPr>
          <w:sz w:val="16"/>
          <w:szCs w:val="21"/>
        </w:rPr>
        <w:t>Договор на социальное обслуживание                         от  «------------------------------1 г.</w:t>
      </w:r>
    </w:p>
    <w:p w:rsidR="00716BEA" w:rsidRDefault="00955DB4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АКТ О ПРЕДОСТАВЛЕНИИ СОЦИАЛЬНЫХ УСЛУГ № ___ ОТ __________ г.</w:t>
      </w:r>
    </w:p>
    <w:p w:rsidR="00716BEA" w:rsidRDefault="00955DB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 ____________года</w:t>
      </w:r>
    </w:p>
    <w:p w:rsidR="00716BEA" w:rsidRDefault="00955DB4" w:rsidP="00955DB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ФИО Заказчика: </w:t>
      </w:r>
    </w:p>
    <w:p w:rsidR="00716BEA" w:rsidRDefault="00955DB4" w:rsidP="00955DB4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Гражданин обслуживается на условиях (форма оплаты): услуги предоставляются на условиях полной или частичной платы.</w:t>
      </w:r>
    </w:p>
    <w:tbl>
      <w:tblPr>
        <w:tblW w:w="10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975"/>
        <w:gridCol w:w="1080"/>
        <w:gridCol w:w="1080"/>
        <w:gridCol w:w="1080"/>
        <w:gridCol w:w="771"/>
        <w:gridCol w:w="309"/>
        <w:gridCol w:w="20"/>
      </w:tblGrid>
      <w:tr w:rsidR="00716BEA" w:rsidTr="00955DB4">
        <w:trPr>
          <w:gridAfter w:val="2"/>
          <w:wAfter w:w="329" w:type="dxa"/>
          <w:cantSplit/>
          <w:trHeight w:val="5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социальной услуги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 услуг, руб.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both"/>
            </w:pPr>
            <w:r>
              <w:rPr>
                <w:sz w:val="21"/>
                <w:szCs w:val="21"/>
              </w:rPr>
              <w:t>Сумма, руб.</w:t>
            </w: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left="15"/>
            </w:pPr>
            <w:r>
              <w:rPr>
                <w:b/>
                <w:sz w:val="16"/>
                <w:szCs w:val="21"/>
              </w:rPr>
              <w:t>Гарантированные услуги</w:t>
            </w: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left="15"/>
            </w:pPr>
            <w:r>
              <w:rPr>
                <w:b/>
                <w:sz w:val="16"/>
                <w:szCs w:val="21"/>
              </w:rPr>
              <w:t>Форма предоставления услуг: СТАЦИОНАРНАЯ</w:t>
            </w: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left="15"/>
            </w:pPr>
            <w:r>
              <w:rPr>
                <w:b/>
                <w:sz w:val="16"/>
                <w:szCs w:val="21"/>
              </w:rPr>
              <w:t>Вид услуг: СОЦИАЛЬНО- ПСИХОЛОГИЧЕСКИЕ</w:t>
            </w: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6"/>
                <w:szCs w:val="21"/>
              </w:rPr>
              <w:t>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right="100"/>
              <w:jc w:val="both"/>
              <w:rPr>
                <w:sz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Диагностика и исследование личности.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firstLine="90"/>
              <w:jc w:val="both"/>
              <w:rPr>
                <w:sz w:val="20"/>
                <w:szCs w:val="20"/>
              </w:rPr>
            </w:pPr>
            <w:r>
              <w:rPr>
                <w:sz w:val="18"/>
              </w:rPr>
              <w:t>единиц/раз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firstLine="180"/>
              <w:jc w:val="both"/>
              <w:rPr>
                <w:sz w:val="21"/>
                <w:szCs w:val="21"/>
              </w:rPr>
            </w:pPr>
            <w:r>
              <w:rPr>
                <w:sz w:val="18"/>
              </w:rPr>
              <w:t>174,68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15"/>
              <w:rPr>
                <w:b/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15"/>
              <w:rPr>
                <w:b/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>14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50" w:right="10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716BEA" w:rsidTr="00955DB4">
        <w:trPr>
          <w:gridAfter w:val="2"/>
          <w:wAfter w:w="329" w:type="dxa"/>
          <w:cantSplit/>
          <w:trHeight w:val="340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ind w:left="15" w:right="100"/>
              <w:jc w:val="right"/>
              <w:rPr>
                <w:b/>
                <w:sz w:val="16"/>
                <w:szCs w:val="21"/>
              </w:rPr>
            </w:pPr>
            <w:r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EA" w:rsidRDefault="00955DB4" w:rsidP="00955DB4">
            <w:pPr>
              <w:spacing w:after="0" w:line="240" w:lineRule="auto"/>
              <w:jc w:val="both"/>
            </w:pPr>
            <w:r>
              <w:rPr>
                <w:b/>
                <w:sz w:val="16"/>
                <w:szCs w:val="21"/>
              </w:rPr>
              <w:t xml:space="preserve"> </w:t>
            </w:r>
          </w:p>
        </w:tc>
      </w:tr>
      <w:tr w:rsidR="00716BEA" w:rsidTr="00955DB4">
        <w:trPr>
          <w:cantSplit/>
          <w:trHeight w:val="540"/>
        </w:trPr>
        <w:tc>
          <w:tcPr>
            <w:tcW w:w="8644" w:type="dxa"/>
            <w:gridSpan w:val="4"/>
            <w:vAlign w:val="bottom"/>
          </w:tcPr>
          <w:p w:rsidR="00716BEA" w:rsidRDefault="00955DB4" w:rsidP="00955DB4">
            <w:pPr>
              <w:spacing w:after="0" w:line="240" w:lineRule="auto"/>
              <w:ind w:left="15" w:right="152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предоставлено Услуг:</w:t>
            </w:r>
          </w:p>
        </w:tc>
        <w:tc>
          <w:tcPr>
            <w:tcW w:w="2160" w:type="dxa"/>
            <w:gridSpan w:val="3"/>
            <w:vAlign w:val="bottom"/>
          </w:tcPr>
          <w:p w:rsidR="00716BEA" w:rsidRDefault="00716BEA" w:rsidP="00955DB4">
            <w:pPr>
              <w:snapToGrid w:val="0"/>
              <w:spacing w:after="0" w:line="240" w:lineRule="auto"/>
              <w:ind w:left="15"/>
              <w:jc w:val="right"/>
              <w:rPr>
                <w:sz w:val="21"/>
                <w:szCs w:val="21"/>
              </w:rPr>
            </w:pPr>
          </w:p>
        </w:tc>
        <w:tc>
          <w:tcPr>
            <w:tcW w:w="20" w:type="dxa"/>
          </w:tcPr>
          <w:p w:rsidR="00716BEA" w:rsidRDefault="00716BEA" w:rsidP="00955DB4">
            <w:pPr>
              <w:snapToGrid w:val="0"/>
              <w:spacing w:after="0" w:line="240" w:lineRule="auto"/>
            </w:pPr>
          </w:p>
        </w:tc>
      </w:tr>
      <w:tr w:rsidR="00716BEA" w:rsidTr="00955DB4">
        <w:trPr>
          <w:cantSplit/>
          <w:trHeight w:val="540"/>
        </w:trPr>
        <w:tc>
          <w:tcPr>
            <w:tcW w:w="8644" w:type="dxa"/>
            <w:gridSpan w:val="4"/>
            <w:vAlign w:val="center"/>
          </w:tcPr>
          <w:p w:rsidR="00716BEA" w:rsidRDefault="00955DB4" w:rsidP="00955DB4">
            <w:pPr>
              <w:spacing w:after="0" w:line="240" w:lineRule="auto"/>
              <w:ind w:left="15" w:right="152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 учетом условий оплаты, на сумму</w:t>
            </w:r>
          </w:p>
        </w:tc>
        <w:tc>
          <w:tcPr>
            <w:tcW w:w="2160" w:type="dxa"/>
            <w:gridSpan w:val="3"/>
            <w:vAlign w:val="center"/>
          </w:tcPr>
          <w:p w:rsidR="00716BEA" w:rsidRDefault="00716BEA" w:rsidP="00955DB4">
            <w:pPr>
              <w:snapToGrid w:val="0"/>
              <w:spacing w:after="0" w:line="240" w:lineRule="auto"/>
              <w:ind w:left="15"/>
              <w:jc w:val="right"/>
              <w:rPr>
                <w:sz w:val="21"/>
                <w:szCs w:val="21"/>
              </w:rPr>
            </w:pPr>
          </w:p>
        </w:tc>
        <w:tc>
          <w:tcPr>
            <w:tcW w:w="20" w:type="dxa"/>
          </w:tcPr>
          <w:p w:rsidR="00716BEA" w:rsidRDefault="00716BEA" w:rsidP="00955DB4">
            <w:pPr>
              <w:snapToGrid w:val="0"/>
              <w:spacing w:after="0" w:line="240" w:lineRule="auto"/>
            </w:pPr>
          </w:p>
        </w:tc>
      </w:tr>
      <w:tr w:rsidR="00716BEA" w:rsidTr="00955DB4">
        <w:trPr>
          <w:cantSplit/>
          <w:trHeight w:val="540"/>
        </w:trPr>
        <w:tc>
          <w:tcPr>
            <w:tcW w:w="8644" w:type="dxa"/>
            <w:gridSpan w:val="4"/>
            <w:vAlign w:val="center"/>
          </w:tcPr>
          <w:p w:rsidR="00716BEA" w:rsidRDefault="00955DB4" w:rsidP="00955DB4">
            <w:pPr>
              <w:spacing w:after="0" w:line="240" w:lineRule="auto"/>
              <w:ind w:left="15" w:right="152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 к оплате за предоставленные Услуги:</w:t>
            </w:r>
          </w:p>
        </w:tc>
        <w:tc>
          <w:tcPr>
            <w:tcW w:w="2160" w:type="dxa"/>
            <w:gridSpan w:val="3"/>
            <w:vAlign w:val="center"/>
          </w:tcPr>
          <w:p w:rsidR="00716BEA" w:rsidRDefault="00955DB4" w:rsidP="00955DB4">
            <w:pPr>
              <w:spacing w:after="0" w:line="240" w:lineRule="auto"/>
              <w:ind w:left="15"/>
              <w:jc w:val="right"/>
            </w:pP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0" w:type="dxa"/>
          </w:tcPr>
          <w:p w:rsidR="00716BEA" w:rsidRDefault="00716BEA" w:rsidP="00955DB4">
            <w:pPr>
              <w:snapToGrid w:val="0"/>
              <w:spacing w:after="0" w:line="240" w:lineRule="auto"/>
            </w:pPr>
          </w:p>
        </w:tc>
      </w:tr>
    </w:tbl>
    <w:p w:rsidR="00716BEA" w:rsidRDefault="00716BEA" w:rsidP="00955DB4">
      <w:pPr>
        <w:spacing w:after="0" w:line="240" w:lineRule="auto"/>
        <w:rPr>
          <w:sz w:val="21"/>
          <w:szCs w:val="21"/>
        </w:rPr>
      </w:pPr>
    </w:p>
    <w:p w:rsidR="00716BEA" w:rsidRDefault="00955DB4" w:rsidP="00955DB4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Вышеперечисленные услуги выполнены полностью и в срок. Заказчик претензий по объему, качеству и срокам оказания услуг не имеет</w:t>
      </w:r>
    </w:p>
    <w:p w:rsidR="00716BEA" w:rsidRDefault="00716BEA" w:rsidP="00955DB4">
      <w:pPr>
        <w:spacing w:after="0" w:line="240" w:lineRule="auto"/>
        <w:rPr>
          <w:sz w:val="21"/>
          <w:szCs w:val="21"/>
        </w:rPr>
      </w:pPr>
    </w:p>
    <w:p w:rsidR="00716BEA" w:rsidRDefault="00716BEA" w:rsidP="00955DB4">
      <w:pPr>
        <w:spacing w:after="0" w:line="240" w:lineRule="auto"/>
        <w:rPr>
          <w:sz w:val="21"/>
          <w:szCs w:val="21"/>
        </w:rPr>
      </w:pPr>
    </w:p>
    <w:tbl>
      <w:tblPr>
        <w:tblW w:w="108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804"/>
        <w:gridCol w:w="5000"/>
      </w:tblGrid>
      <w:tr w:rsidR="00716BEA" w:rsidTr="00955DB4">
        <w:tc>
          <w:tcPr>
            <w:tcW w:w="5000" w:type="dxa"/>
            <w:tcBorders>
              <w:bottom w:val="single" w:sz="8" w:space="0" w:color="000000"/>
            </w:tcBorders>
            <w:vAlign w:val="bottom"/>
          </w:tcPr>
          <w:p w:rsidR="00716BEA" w:rsidRDefault="00955DB4" w:rsidP="00955DB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Исполнитель:</w:t>
            </w:r>
          </w:p>
        </w:tc>
        <w:tc>
          <w:tcPr>
            <w:tcW w:w="804" w:type="dxa"/>
            <w:vAlign w:val="bottom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bottom w:val="single" w:sz="8" w:space="0" w:color="000000"/>
            </w:tcBorders>
            <w:vAlign w:val="bottom"/>
          </w:tcPr>
          <w:p w:rsidR="00716BEA" w:rsidRDefault="00955DB4" w:rsidP="00955DB4">
            <w:pPr>
              <w:spacing w:after="0" w:line="240" w:lineRule="auto"/>
            </w:pPr>
            <w:r>
              <w:rPr>
                <w:b/>
                <w:sz w:val="21"/>
                <w:szCs w:val="21"/>
              </w:rPr>
              <w:t>Заказчик:</w:t>
            </w:r>
          </w:p>
        </w:tc>
      </w:tr>
      <w:tr w:rsidR="00716BEA" w:rsidTr="00955DB4">
        <w:tc>
          <w:tcPr>
            <w:tcW w:w="5000" w:type="dxa"/>
            <w:tcBorders>
              <w:top w:val="single" w:sz="8" w:space="0" w:color="000000"/>
            </w:tcBorders>
          </w:tcPr>
          <w:p w:rsidR="00716BEA" w:rsidRDefault="00955DB4" w:rsidP="00955DB4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804" w:type="dxa"/>
          </w:tcPr>
          <w:p w:rsidR="00716BEA" w:rsidRDefault="00716BEA" w:rsidP="00955DB4">
            <w:pPr>
              <w:snapToGrid w:val="0"/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8" w:space="0" w:color="000000"/>
            </w:tcBorders>
          </w:tcPr>
          <w:p w:rsidR="00716BEA" w:rsidRDefault="00955DB4" w:rsidP="00955DB4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(подпись)</w:t>
            </w:r>
          </w:p>
        </w:tc>
      </w:tr>
      <w:tr w:rsidR="00716BEA" w:rsidTr="00955DB4">
        <w:tblPrEx>
          <w:tblCellMar>
            <w:left w:w="0" w:type="dxa"/>
            <w:right w:w="0" w:type="dxa"/>
          </w:tblCellMar>
        </w:tblPrEx>
        <w:tc>
          <w:tcPr>
            <w:tcW w:w="5000" w:type="dxa"/>
          </w:tcPr>
          <w:p w:rsidR="00716BEA" w:rsidRDefault="00955DB4" w:rsidP="00955DB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804" w:type="dxa"/>
            <w:gridSpan w:val="2"/>
          </w:tcPr>
          <w:p w:rsidR="00716BEA" w:rsidRDefault="00716BEA" w:rsidP="00955DB4">
            <w:pPr>
              <w:snapToGrid w:val="0"/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DB4" w:rsidRP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DB4">
        <w:rPr>
          <w:rFonts w:ascii="Times New Roman" w:hAnsi="Times New Roman" w:cs="Times New Roman"/>
          <w:b/>
          <w:bCs/>
          <w:sz w:val="28"/>
          <w:szCs w:val="28"/>
        </w:rPr>
        <w:t>Распределение данного стандарта операционной процедуры</w:t>
      </w:r>
    </w:p>
    <w:p w:rsidR="00955DB4" w:rsidRP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DB4">
        <w:rPr>
          <w:rFonts w:ascii="Times New Roman" w:hAnsi="Times New Roman" w:cs="Times New Roman"/>
          <w:bCs/>
          <w:sz w:val="28"/>
          <w:szCs w:val="28"/>
        </w:rPr>
        <w:t>Экземпляр                                                            Должность</w:t>
      </w:r>
    </w:p>
    <w:p w:rsidR="00955DB4" w:rsidRP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DB4">
        <w:rPr>
          <w:rFonts w:ascii="Times New Roman" w:hAnsi="Times New Roman" w:cs="Times New Roman"/>
          <w:bCs/>
          <w:sz w:val="28"/>
          <w:szCs w:val="28"/>
        </w:rPr>
        <w:t xml:space="preserve">Оригинал </w:t>
      </w:r>
    </w:p>
    <w:p w:rsidR="00955DB4" w:rsidRP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DB4">
        <w:rPr>
          <w:rFonts w:ascii="Times New Roman" w:hAnsi="Times New Roman" w:cs="Times New Roman"/>
          <w:bCs/>
          <w:sz w:val="28"/>
          <w:szCs w:val="28"/>
        </w:rPr>
        <w:t>Копия</w:t>
      </w:r>
    </w:p>
    <w:p w:rsidR="00955DB4" w:rsidRP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DB4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97"/>
        <w:gridCol w:w="2396"/>
        <w:gridCol w:w="2832"/>
      </w:tblGrid>
      <w:tr w:rsidR="00955DB4" w:rsidRPr="00955DB4" w:rsidTr="002E5B3B">
        <w:tc>
          <w:tcPr>
            <w:tcW w:w="675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41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B4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B4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940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B4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955DB4" w:rsidRPr="00955DB4" w:rsidTr="002E5B3B">
        <w:tc>
          <w:tcPr>
            <w:tcW w:w="675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1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0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DB4" w:rsidRPr="00955DB4" w:rsidTr="002E5B3B">
        <w:tc>
          <w:tcPr>
            <w:tcW w:w="675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1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0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DB4" w:rsidRPr="00955DB4" w:rsidTr="002E5B3B">
        <w:tc>
          <w:tcPr>
            <w:tcW w:w="675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1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0" w:type="dxa"/>
          </w:tcPr>
          <w:p w:rsidR="00955DB4" w:rsidRPr="00955DB4" w:rsidRDefault="00955DB4" w:rsidP="00955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5DB4" w:rsidRPr="00955DB4" w:rsidRDefault="00955DB4" w:rsidP="00955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EA" w:rsidRDefault="00716BEA" w:rsidP="0095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EA" w:rsidRDefault="00716BEA" w:rsidP="0095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EA" w:rsidRDefault="00716BEA" w:rsidP="0095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EA" w:rsidRDefault="00716BEA" w:rsidP="0095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EA" w:rsidRDefault="00716BEA" w:rsidP="0095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EA" w:rsidRDefault="00716BEA" w:rsidP="00955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BEA" w:rsidSect="00955DB4">
      <w:pgSz w:w="11906" w:h="16838"/>
      <w:pgMar w:top="474" w:right="850" w:bottom="30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EA" w:rsidRDefault="00955DB4">
      <w:pPr>
        <w:spacing w:line="240" w:lineRule="auto"/>
      </w:pPr>
      <w:r>
        <w:separator/>
      </w:r>
    </w:p>
  </w:endnote>
  <w:endnote w:type="continuationSeparator" w:id="0">
    <w:p w:rsidR="00716BEA" w:rsidRDefault="00955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EA" w:rsidRDefault="00955DB4">
      <w:pPr>
        <w:spacing w:after="0"/>
      </w:pPr>
      <w:r>
        <w:separator/>
      </w:r>
    </w:p>
  </w:footnote>
  <w:footnote w:type="continuationSeparator" w:id="0">
    <w:p w:rsidR="00716BEA" w:rsidRDefault="00955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58E"/>
    <w:multiLevelType w:val="multilevel"/>
    <w:tmpl w:val="18BE6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C27"/>
    <w:multiLevelType w:val="multilevel"/>
    <w:tmpl w:val="2EFF2C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F29"/>
    <w:multiLevelType w:val="multilevel"/>
    <w:tmpl w:val="37130F2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7D"/>
    <w:rsid w:val="00095B60"/>
    <w:rsid w:val="000D316F"/>
    <w:rsid w:val="00112CCF"/>
    <w:rsid w:val="00114B35"/>
    <w:rsid w:val="0015343B"/>
    <w:rsid w:val="0017666D"/>
    <w:rsid w:val="001F6BF7"/>
    <w:rsid w:val="00200051"/>
    <w:rsid w:val="002550A6"/>
    <w:rsid w:val="002623A2"/>
    <w:rsid w:val="00270E3A"/>
    <w:rsid w:val="0028484D"/>
    <w:rsid w:val="003211EE"/>
    <w:rsid w:val="00323DC9"/>
    <w:rsid w:val="00374FC6"/>
    <w:rsid w:val="00396F20"/>
    <w:rsid w:val="003C1356"/>
    <w:rsid w:val="004202AB"/>
    <w:rsid w:val="00434349"/>
    <w:rsid w:val="00445992"/>
    <w:rsid w:val="004556C1"/>
    <w:rsid w:val="00460061"/>
    <w:rsid w:val="00460B46"/>
    <w:rsid w:val="004C4A12"/>
    <w:rsid w:val="00521B6B"/>
    <w:rsid w:val="005607FD"/>
    <w:rsid w:val="005842D4"/>
    <w:rsid w:val="00616C64"/>
    <w:rsid w:val="00635D7D"/>
    <w:rsid w:val="006A38A6"/>
    <w:rsid w:val="00716BEA"/>
    <w:rsid w:val="007310A3"/>
    <w:rsid w:val="007543C3"/>
    <w:rsid w:val="00760820"/>
    <w:rsid w:val="00783F09"/>
    <w:rsid w:val="0080086C"/>
    <w:rsid w:val="008049E7"/>
    <w:rsid w:val="00810F3F"/>
    <w:rsid w:val="00917359"/>
    <w:rsid w:val="00955DB4"/>
    <w:rsid w:val="0095740F"/>
    <w:rsid w:val="009B708A"/>
    <w:rsid w:val="009D5BD5"/>
    <w:rsid w:val="00A14245"/>
    <w:rsid w:val="00A21EEF"/>
    <w:rsid w:val="00A55BC2"/>
    <w:rsid w:val="00A62BBB"/>
    <w:rsid w:val="00AC4D01"/>
    <w:rsid w:val="00C76E56"/>
    <w:rsid w:val="00C77603"/>
    <w:rsid w:val="00CD70F8"/>
    <w:rsid w:val="00D13694"/>
    <w:rsid w:val="00D22DCB"/>
    <w:rsid w:val="00DC55DB"/>
    <w:rsid w:val="00E341EC"/>
    <w:rsid w:val="00E5167C"/>
    <w:rsid w:val="00E845F5"/>
    <w:rsid w:val="00EA3C1D"/>
    <w:rsid w:val="00ED15E5"/>
    <w:rsid w:val="00ED3403"/>
    <w:rsid w:val="00F404F8"/>
    <w:rsid w:val="00F53107"/>
    <w:rsid w:val="00F551C0"/>
    <w:rsid w:val="00F616F9"/>
    <w:rsid w:val="00FA718F"/>
    <w:rsid w:val="00FB70F6"/>
    <w:rsid w:val="00FB7C03"/>
    <w:rsid w:val="00FD7E81"/>
    <w:rsid w:val="00FF0F3B"/>
    <w:rsid w:val="165C4C3F"/>
    <w:rsid w:val="2A9B5598"/>
    <w:rsid w:val="3C310073"/>
    <w:rsid w:val="40615AF9"/>
    <w:rsid w:val="431D3639"/>
    <w:rsid w:val="49A45357"/>
    <w:rsid w:val="4F973BDC"/>
    <w:rsid w:val="6AAA2F88"/>
    <w:rsid w:val="723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7EED-0644-4EBF-975B-D94149B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customStyle="1" w:styleId="1">
    <w:name w:val="Основной шрифт абзаца1"/>
    <w:uiPriority w:val="67"/>
  </w:style>
  <w:style w:type="paragraph" w:customStyle="1" w:styleId="10">
    <w:name w:val="Абзац списка1"/>
    <w:basedOn w:val="a"/>
    <w:uiPriority w:val="67"/>
    <w:qFormat/>
    <w:pPr>
      <w:ind w:left="72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21</cp:revision>
  <dcterms:created xsi:type="dcterms:W3CDTF">2020-04-08T00:33:00Z</dcterms:created>
  <dcterms:modified xsi:type="dcterms:W3CDTF">2023-03-17T09:28:00Z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51FF9715A3EE4821A38EFC2848205FDA</vt:lpwstr>
  </property>
</Properties>
</file>